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91" w:rsidRDefault="00754B91" w:rsidP="00754B91">
      <w:r>
        <w:rPr>
          <w:color w:val="FFFFFF"/>
          <w:sz w:val="8"/>
          <w:szCs w:val="8"/>
        </w:rPr>
        <w:t>In t</w:t>
      </w:r>
      <w:bookmarkStart w:id="0" w:name="_GoBack"/>
      <w:bookmarkEnd w:id="0"/>
      <w:r>
        <w:rPr>
          <w:color w:val="FFFFFF"/>
          <w:sz w:val="8"/>
          <w:szCs w:val="8"/>
        </w:rPr>
        <w:t xml:space="preserve">his webinar, Bruce Weber of Oregon State University and Ann </w:t>
      </w:r>
      <w:proofErr w:type="spellStart"/>
      <w:r>
        <w:rPr>
          <w:color w:val="FFFFFF"/>
          <w:sz w:val="8"/>
          <w:szCs w:val="8"/>
        </w:rPr>
        <w:t>Tickamyer</w:t>
      </w:r>
      <w:proofErr w:type="spellEnd"/>
      <w:r>
        <w:rPr>
          <w:color w:val="FFFFFF"/>
          <w:sz w:val="8"/>
          <w:szCs w:val="8"/>
        </w:rPr>
        <w:t xml:space="preserve"> of Pennsylvania State University will review the nation’s progress in reducing rural poverty in the U.S. in past 50 years. </w:t>
      </w:r>
    </w:p>
    <w:tbl>
      <w:tblPr>
        <w:tblpPr w:leftFromText="180" w:rightFromText="180" w:vertAnchor="text"/>
        <w:tblW w:w="0" w:type="auto"/>
        <w:tblCellMar>
          <w:left w:w="0" w:type="dxa"/>
          <w:right w:w="0" w:type="dxa"/>
        </w:tblCellMar>
        <w:tblLook w:val="04A0" w:firstRow="1" w:lastRow="0" w:firstColumn="1" w:lastColumn="0" w:noHBand="0" w:noVBand="1"/>
      </w:tblPr>
      <w:tblGrid>
        <w:gridCol w:w="3873"/>
        <w:gridCol w:w="1411"/>
        <w:gridCol w:w="2057"/>
        <w:gridCol w:w="101"/>
        <w:gridCol w:w="1918"/>
      </w:tblGrid>
      <w:tr w:rsidR="00754B91" w:rsidTr="00754B91">
        <w:trPr>
          <w:cantSplit/>
          <w:trHeight w:val="576"/>
        </w:trPr>
        <w:tc>
          <w:tcPr>
            <w:tcW w:w="11135" w:type="dxa"/>
            <w:gridSpan w:val="5"/>
            <w:shd w:val="clear" w:color="auto" w:fill="C00000"/>
            <w:tcMar>
              <w:top w:w="0" w:type="dxa"/>
              <w:left w:w="108" w:type="dxa"/>
              <w:bottom w:w="0" w:type="dxa"/>
              <w:right w:w="108" w:type="dxa"/>
            </w:tcMar>
            <w:hideMark/>
          </w:tcPr>
          <w:p w:rsidR="00754B91" w:rsidRDefault="00754B91"/>
        </w:tc>
      </w:tr>
      <w:tr w:rsidR="00754B91" w:rsidTr="00754B91">
        <w:trPr>
          <w:cantSplit/>
          <w:trHeight w:val="576"/>
        </w:trPr>
        <w:tc>
          <w:tcPr>
            <w:tcW w:w="4250" w:type="dxa"/>
            <w:shd w:val="clear" w:color="auto" w:fill="C00000"/>
            <w:tcMar>
              <w:top w:w="0" w:type="dxa"/>
              <w:left w:w="108" w:type="dxa"/>
              <w:bottom w:w="0" w:type="dxa"/>
              <w:right w:w="108" w:type="dxa"/>
            </w:tcMar>
            <w:hideMark/>
          </w:tcPr>
          <w:p w:rsidR="00754B91" w:rsidRDefault="00754B91">
            <w:r>
              <w:rPr>
                <w:rFonts w:ascii="Adobe Garamond Pro" w:hAnsi="Adobe Garamond Pro"/>
                <w:b/>
                <w:bCs/>
                <w:noProof/>
                <w:sz w:val="18"/>
                <w:szCs w:val="18"/>
              </w:rPr>
              <w:drawing>
                <wp:inline distT="0" distB="0" distL="0" distR="0">
                  <wp:extent cx="2562225" cy="962025"/>
                  <wp:effectExtent l="0" t="0" r="0" b="0"/>
                  <wp:docPr id="6" name="Picture 6" descr="cid:image002.png@01D3B6C5.7498583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B6C5.74985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62225" cy="962025"/>
                          </a:xfrm>
                          <a:prstGeom prst="rect">
                            <a:avLst/>
                          </a:prstGeom>
                          <a:noFill/>
                          <a:ln>
                            <a:noFill/>
                          </a:ln>
                        </pic:spPr>
                      </pic:pic>
                    </a:graphicData>
                  </a:graphic>
                </wp:inline>
              </w:drawing>
            </w:r>
          </w:p>
        </w:tc>
        <w:tc>
          <w:tcPr>
            <w:tcW w:w="6885" w:type="dxa"/>
            <w:gridSpan w:val="4"/>
            <w:shd w:val="clear" w:color="auto" w:fill="C00000"/>
            <w:hideMark/>
          </w:tcPr>
          <w:p w:rsidR="00754B91" w:rsidRDefault="00754B91">
            <w:pPr>
              <w:spacing w:after="240" w:line="276" w:lineRule="auto"/>
            </w:pPr>
            <w:r>
              <w:rPr>
                <w:rFonts w:ascii="Adobe Garamond Pro" w:hAnsi="Adobe Garamond Pro"/>
                <w:b/>
                <w:bCs/>
                <w:sz w:val="40"/>
                <w:szCs w:val="40"/>
              </w:rPr>
              <w:t> </w:t>
            </w:r>
          </w:p>
          <w:p w:rsidR="00754B91" w:rsidRDefault="00754B91">
            <w:r>
              <w:rPr>
                <w:rFonts w:ascii="Adobe Garamond Pro" w:hAnsi="Adobe Garamond Pro"/>
              </w:rPr>
              <w:t> </w:t>
            </w:r>
          </w:p>
        </w:tc>
      </w:tr>
      <w:tr w:rsidR="00754B91" w:rsidTr="00754B91">
        <w:trPr>
          <w:cantSplit/>
          <w:trHeight w:val="576"/>
        </w:trPr>
        <w:tc>
          <w:tcPr>
            <w:tcW w:w="4250" w:type="dxa"/>
            <w:shd w:val="clear" w:color="auto" w:fill="C00000"/>
            <w:tcMar>
              <w:top w:w="0" w:type="dxa"/>
              <w:left w:w="108" w:type="dxa"/>
              <w:bottom w:w="0" w:type="dxa"/>
              <w:right w:w="108" w:type="dxa"/>
            </w:tcMar>
            <w:hideMark/>
          </w:tcPr>
          <w:p w:rsidR="00754B91" w:rsidRDefault="00754B91">
            <w:pPr>
              <w:jc w:val="center"/>
            </w:pPr>
            <w:r>
              <w:rPr>
                <w:rFonts w:ascii="Adobe Garamond Pro" w:hAnsi="Adobe Garamond Pro"/>
                <w:b/>
                <w:bCs/>
                <w:sz w:val="18"/>
                <w:szCs w:val="18"/>
              </w:rPr>
              <w:t> </w:t>
            </w:r>
          </w:p>
        </w:tc>
        <w:tc>
          <w:tcPr>
            <w:tcW w:w="6885" w:type="dxa"/>
            <w:gridSpan w:val="4"/>
            <w:shd w:val="clear" w:color="auto" w:fill="C00000"/>
            <w:hideMark/>
          </w:tcPr>
          <w:p w:rsidR="00754B91" w:rsidRDefault="00754B91">
            <w:pPr>
              <w:spacing w:after="240"/>
              <w:jc w:val="center"/>
            </w:pPr>
            <w:r>
              <w:rPr>
                <w:noProof/>
              </w:rPr>
              <w:drawing>
                <wp:inline distT="0" distB="0" distL="0" distR="0">
                  <wp:extent cx="1162050" cy="323850"/>
                  <wp:effectExtent l="0" t="0" r="0" b="0"/>
                  <wp:docPr id="5" name="Picture 5" descr="Webinar Seri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inar Series 201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p>
        </w:tc>
      </w:tr>
      <w:tr w:rsidR="00754B91" w:rsidTr="00754B91">
        <w:trPr>
          <w:trHeight w:val="2475"/>
        </w:trPr>
        <w:tc>
          <w:tcPr>
            <w:tcW w:w="11135" w:type="dxa"/>
            <w:gridSpan w:val="5"/>
            <w:tcMar>
              <w:top w:w="0" w:type="dxa"/>
              <w:left w:w="108" w:type="dxa"/>
              <w:bottom w:w="0" w:type="dxa"/>
              <w:right w:w="108" w:type="dxa"/>
            </w:tcMar>
            <w:vAlign w:val="center"/>
            <w:hideMark/>
          </w:tcPr>
          <w:p w:rsidR="00754B91" w:rsidRDefault="00754B91">
            <w:pPr>
              <w:jc w:val="center"/>
            </w:pPr>
            <w:r>
              <w:rPr>
                <w:rFonts w:ascii="Adobe Garamond Pro" w:hAnsi="Adobe Garamond Pro"/>
                <w:b/>
                <w:bCs/>
              </w:rPr>
              <w:t> </w:t>
            </w:r>
          </w:p>
          <w:p w:rsidR="00754B91" w:rsidRDefault="00754B91">
            <w:r>
              <w:rPr>
                <w:rFonts w:ascii="Adobe Garamond Pro" w:hAnsi="Adobe Garamond Pro"/>
                <w:b/>
                <w:bCs/>
              </w:rPr>
              <w:t> </w:t>
            </w:r>
          </w:p>
          <w:p w:rsidR="00754B91" w:rsidRDefault="00754B91">
            <w:pPr>
              <w:jc w:val="center"/>
            </w:pPr>
            <w:r>
              <w:rPr>
                <w:rFonts w:ascii="Adobe Garamond Pro" w:hAnsi="Adobe Garamond Pro"/>
                <w:b/>
                <w:bCs/>
                <w:sz w:val="56"/>
                <w:szCs w:val="56"/>
              </w:rPr>
              <w:t xml:space="preserve">Rural Poverty Fifty Years After </w:t>
            </w:r>
          </w:p>
          <w:p w:rsidR="00754B91" w:rsidRDefault="00754B91">
            <w:pPr>
              <w:jc w:val="center"/>
            </w:pPr>
            <w:r>
              <w:rPr>
                <w:rFonts w:ascii="Adobe Garamond Pro" w:hAnsi="Adobe Garamond Pro"/>
                <w:b/>
                <w:bCs/>
                <w:i/>
                <w:iCs/>
                <w:sz w:val="56"/>
                <w:szCs w:val="56"/>
              </w:rPr>
              <w:t>The People Left Behind</w:t>
            </w:r>
          </w:p>
          <w:p w:rsidR="00754B91" w:rsidRDefault="00754B91">
            <w:pPr>
              <w:jc w:val="center"/>
            </w:pPr>
            <w:r>
              <w:rPr>
                <w:rFonts w:ascii="Verdana" w:hAnsi="Verdana"/>
                <w:sz w:val="36"/>
                <w:szCs w:val="36"/>
              </w:rPr>
              <w:t> </w:t>
            </w:r>
          </w:p>
          <w:p w:rsidR="00754B91" w:rsidRDefault="00754B91">
            <w:pPr>
              <w:spacing w:after="240"/>
              <w:jc w:val="center"/>
            </w:pPr>
            <w:r>
              <w:rPr>
                <w:rFonts w:ascii="Verdana" w:hAnsi="Verdana"/>
                <w:sz w:val="36"/>
                <w:szCs w:val="36"/>
              </w:rPr>
              <w:t xml:space="preserve">Bruce Weber and Ann </w:t>
            </w:r>
            <w:proofErr w:type="spellStart"/>
            <w:r>
              <w:rPr>
                <w:rFonts w:ascii="Verdana" w:hAnsi="Verdana"/>
                <w:sz w:val="36"/>
                <w:szCs w:val="36"/>
              </w:rPr>
              <w:t>Tickamyer</w:t>
            </w:r>
            <w:proofErr w:type="spellEnd"/>
          </w:p>
          <w:p w:rsidR="00754B91" w:rsidRDefault="00754B91">
            <w:pPr>
              <w:spacing w:after="240"/>
              <w:jc w:val="center"/>
            </w:pPr>
            <w:r>
              <w:rPr>
                <w:rFonts w:ascii="Verdana" w:hAnsi="Verdana"/>
                <w:sz w:val="36"/>
                <w:szCs w:val="36"/>
              </w:rPr>
              <w:t>Wednesday, September 12, 2018</w:t>
            </w:r>
          </w:p>
          <w:p w:rsidR="00754B91" w:rsidRDefault="00754B91">
            <w:pPr>
              <w:jc w:val="center"/>
            </w:pPr>
            <w:r>
              <w:rPr>
                <w:rFonts w:ascii="Verdana" w:hAnsi="Verdana"/>
                <w:sz w:val="24"/>
                <w:szCs w:val="24"/>
              </w:rPr>
              <w:t>2–3 pm Eastern, 1–2 pm Central, 12–1 pm Mountain, 11 am–12 pm Pacific</w:t>
            </w:r>
          </w:p>
          <w:p w:rsidR="00754B91" w:rsidRDefault="00754B91">
            <w:pPr>
              <w:jc w:val="center"/>
            </w:pPr>
            <w:r>
              <w:rPr>
                <w:rFonts w:ascii="Adobe Garamond Pro" w:hAnsi="Adobe Garamond Pro"/>
              </w:rPr>
              <w:t> </w:t>
            </w:r>
          </w:p>
          <w:p w:rsidR="00754B91" w:rsidRDefault="00754B91">
            <w:pPr>
              <w:ind w:left="720"/>
              <w:jc w:val="center"/>
            </w:pPr>
            <w:r>
              <w:rPr>
                <w:rFonts w:ascii="Adobe Garamond Pro" w:hAnsi="Adobe Garamond Pro"/>
                <w:sz w:val="14"/>
                <w:szCs w:val="14"/>
              </w:rPr>
              <w:t> </w:t>
            </w:r>
          </w:p>
          <w:p w:rsidR="00754B91" w:rsidRDefault="00754B91">
            <w:pPr>
              <w:ind w:left="720"/>
              <w:jc w:val="center"/>
            </w:pPr>
            <w:r>
              <w:rPr>
                <w:noProof/>
              </w:rPr>
              <w:drawing>
                <wp:inline distT="0" distB="0" distL="0" distR="0">
                  <wp:extent cx="2371725" cy="600075"/>
                  <wp:effectExtent l="0" t="0" r="0" b="9525"/>
                  <wp:docPr id="4" name="Picture 4" descr="Register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He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r>
              <w:rPr>
                <w:noProof/>
              </w:rPr>
              <w:drawing>
                <wp:inline distT="0" distB="0" distL="0" distR="0">
                  <wp:extent cx="2676525" cy="600075"/>
                  <wp:effectExtent l="0" t="0" r="0" b="9525"/>
                  <wp:docPr id="3" name="Picture 3" descr="Add to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to Calenda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76525" cy="600075"/>
                          </a:xfrm>
                          <a:prstGeom prst="rect">
                            <a:avLst/>
                          </a:prstGeom>
                          <a:noFill/>
                          <a:ln>
                            <a:noFill/>
                          </a:ln>
                        </pic:spPr>
                      </pic:pic>
                    </a:graphicData>
                  </a:graphic>
                </wp:inline>
              </w:drawing>
            </w:r>
            <w:r>
              <w:rPr>
                <w:rFonts w:ascii="Adobe Garamond Pro" w:hAnsi="Adobe Garamond Pro"/>
              </w:rPr>
              <w:t> </w:t>
            </w:r>
          </w:p>
          <w:p w:rsidR="00754B91" w:rsidRDefault="00754B91">
            <w:pPr>
              <w:ind w:left="720"/>
              <w:jc w:val="center"/>
            </w:pPr>
            <w:r>
              <w:rPr>
                <w:rFonts w:ascii="Adobe Garamond Pro" w:hAnsi="Adobe Garamond Pro"/>
              </w:rPr>
              <w:t> </w:t>
            </w:r>
          </w:p>
          <w:p w:rsidR="00754B91" w:rsidRDefault="00754B91">
            <w:pPr>
              <w:ind w:left="720"/>
              <w:jc w:val="center"/>
            </w:pPr>
            <w:r>
              <w:rPr>
                <w:rFonts w:ascii="Adobe Garamond Pro" w:hAnsi="Adobe Garamond Pro"/>
              </w:rPr>
              <w:t> </w:t>
            </w:r>
          </w:p>
          <w:p w:rsidR="00754B91" w:rsidRDefault="00754B91">
            <w:pPr>
              <w:ind w:left="720"/>
              <w:jc w:val="center"/>
            </w:pPr>
            <w:r>
              <w:rPr>
                <w:rFonts w:ascii="Adobe Garamond Pro" w:hAnsi="Adobe Garamond Pro"/>
              </w:rPr>
              <w:t> </w:t>
            </w:r>
          </w:p>
          <w:p w:rsidR="00754B91" w:rsidRDefault="00754B91">
            <w:r>
              <w:rPr>
                <w:rFonts w:ascii="Adobe Garamond Pro" w:hAnsi="Adobe Garamond Pro"/>
              </w:rPr>
              <w:t> </w:t>
            </w:r>
          </w:p>
          <w:p w:rsidR="00754B91" w:rsidRDefault="00754B91">
            <w:pPr>
              <w:jc w:val="center"/>
            </w:pPr>
            <w:r>
              <w:rPr>
                <w:rFonts w:ascii="Adobe Garamond Pro" w:hAnsi="Adobe Garamond Pro"/>
              </w:rPr>
              <w:t> </w:t>
            </w:r>
          </w:p>
        </w:tc>
      </w:tr>
      <w:tr w:rsidR="00754B91" w:rsidTr="00754B91">
        <w:trPr>
          <w:trHeight w:val="232"/>
        </w:trPr>
        <w:tc>
          <w:tcPr>
            <w:tcW w:w="7200" w:type="dxa"/>
            <w:gridSpan w:val="2"/>
            <w:tcMar>
              <w:top w:w="0" w:type="dxa"/>
              <w:left w:w="108" w:type="dxa"/>
              <w:bottom w:w="0" w:type="dxa"/>
              <w:right w:w="108" w:type="dxa"/>
            </w:tcMar>
            <w:hideMark/>
          </w:tcPr>
          <w:p w:rsidR="00754B91" w:rsidRDefault="00754B91">
            <w:r>
              <w:rPr>
                <w:rFonts w:ascii="Adobe Garamond Pro" w:hAnsi="Adobe Garamond Pro"/>
                <w:sz w:val="6"/>
                <w:szCs w:val="6"/>
              </w:rPr>
              <w:t> </w:t>
            </w:r>
          </w:p>
        </w:tc>
        <w:tc>
          <w:tcPr>
            <w:tcW w:w="1891" w:type="dxa"/>
            <w:tcMar>
              <w:top w:w="0" w:type="dxa"/>
              <w:left w:w="108" w:type="dxa"/>
              <w:bottom w:w="0" w:type="dxa"/>
              <w:right w:w="108" w:type="dxa"/>
            </w:tcMar>
            <w:hideMark/>
          </w:tcPr>
          <w:p w:rsidR="00754B91" w:rsidRDefault="00754B91">
            <w:r>
              <w:t> </w:t>
            </w:r>
          </w:p>
          <w:p w:rsidR="00754B91" w:rsidRDefault="00754B91">
            <w:r>
              <w:rPr>
                <w:rFonts w:ascii="Adobe Garamond Pro" w:hAnsi="Adobe Garamond Pro"/>
                <w:color w:val="333333"/>
                <w:sz w:val="6"/>
                <w:szCs w:val="6"/>
                <w:shd w:val="clear" w:color="auto" w:fill="FFFFFF"/>
              </w:rPr>
              <w:t> </w:t>
            </w:r>
          </w:p>
        </w:tc>
        <w:tc>
          <w:tcPr>
            <w:tcW w:w="2044" w:type="dxa"/>
            <w:gridSpan w:val="2"/>
            <w:tcMar>
              <w:top w:w="0" w:type="dxa"/>
              <w:left w:w="108" w:type="dxa"/>
              <w:bottom w:w="0" w:type="dxa"/>
              <w:right w:w="108" w:type="dxa"/>
            </w:tcMar>
            <w:hideMark/>
          </w:tcPr>
          <w:p w:rsidR="00754B91" w:rsidRDefault="00754B91">
            <w:r>
              <w:rPr>
                <w:rFonts w:ascii="Adobe Garamond Pro" w:hAnsi="Adobe Garamond Pro"/>
                <w:sz w:val="6"/>
                <w:szCs w:val="6"/>
              </w:rPr>
              <w:t> </w:t>
            </w:r>
          </w:p>
        </w:tc>
      </w:tr>
      <w:tr w:rsidR="00754B91" w:rsidTr="00754B91">
        <w:trPr>
          <w:trHeight w:val="158"/>
        </w:trPr>
        <w:tc>
          <w:tcPr>
            <w:tcW w:w="7200" w:type="dxa"/>
            <w:gridSpan w:val="2"/>
            <w:vMerge w:val="restart"/>
            <w:tcMar>
              <w:top w:w="0" w:type="dxa"/>
              <w:left w:w="108" w:type="dxa"/>
              <w:bottom w:w="0" w:type="dxa"/>
              <w:right w:w="108" w:type="dxa"/>
            </w:tcMar>
            <w:vAlign w:val="center"/>
            <w:hideMark/>
          </w:tcPr>
          <w:p w:rsidR="00754B91" w:rsidRDefault="00754B91">
            <w:r>
              <w:rPr>
                <w:rFonts w:ascii="Georgia" w:hAnsi="Georgia"/>
                <w:color w:val="494949"/>
                <w:sz w:val="27"/>
                <w:szCs w:val="27"/>
                <w:shd w:val="clear" w:color="auto" w:fill="FFFFFF"/>
              </w:rPr>
              <w:t>When President Johnson’s National Advisory Commission on Rural Poverty issued its report </w:t>
            </w:r>
            <w:r>
              <w:rPr>
                <w:rStyle w:val="Emphasis"/>
                <w:rFonts w:ascii="Georgia" w:hAnsi="Georgia"/>
                <w:color w:val="494949"/>
                <w:sz w:val="27"/>
                <w:szCs w:val="27"/>
                <w:bdr w:val="none" w:sz="0" w:space="0" w:color="auto" w:frame="1"/>
                <w:shd w:val="clear" w:color="auto" w:fill="FFFFFF"/>
              </w:rPr>
              <w:t>The People Left Behind</w:t>
            </w:r>
            <w:r>
              <w:rPr>
                <w:rFonts w:ascii="Georgia" w:hAnsi="Georgia"/>
                <w:color w:val="494949"/>
                <w:sz w:val="27"/>
                <w:szCs w:val="27"/>
                <w:shd w:val="clear" w:color="auto" w:fill="FFFFFF"/>
              </w:rPr>
              <w:t xml:space="preserve"> in 1967, the rural poverty rate in America was 25 percent, twice the urban poverty rate. </w:t>
            </w:r>
          </w:p>
          <w:p w:rsidR="00754B91" w:rsidRDefault="00754B91">
            <w:r>
              <w:rPr>
                <w:rFonts w:ascii="Georgia" w:hAnsi="Georgia"/>
                <w:color w:val="494949"/>
                <w:sz w:val="27"/>
                <w:szCs w:val="27"/>
                <w:shd w:val="clear" w:color="auto" w:fill="FFFFFF"/>
              </w:rPr>
              <w:t> </w:t>
            </w:r>
          </w:p>
          <w:p w:rsidR="00754B91" w:rsidRDefault="00754B91">
            <w:proofErr w:type="gramStart"/>
            <w:r>
              <w:rPr>
                <w:rFonts w:ascii="Georgia" w:hAnsi="Georgia"/>
                <w:color w:val="494949"/>
                <w:sz w:val="27"/>
                <w:szCs w:val="27"/>
                <w:shd w:val="clear" w:color="auto" w:fill="FFFFFF"/>
              </w:rPr>
              <w:t xml:space="preserve">In this webinar, </w:t>
            </w:r>
            <w:hyperlink r:id="rId13" w:history="1">
              <w:r>
                <w:rPr>
                  <w:rStyle w:val="Hyperlink"/>
                  <w:rFonts w:ascii="Georgia" w:hAnsi="Georgia"/>
                  <w:sz w:val="27"/>
                  <w:szCs w:val="27"/>
                  <w:shd w:val="clear" w:color="auto" w:fill="FFFFFF"/>
                </w:rPr>
                <w:t>Bruce Weber</w:t>
              </w:r>
            </w:hyperlink>
            <w:r>
              <w:rPr>
                <w:rFonts w:ascii="Georgia" w:hAnsi="Georgia"/>
                <w:color w:val="494949"/>
                <w:sz w:val="27"/>
                <w:szCs w:val="27"/>
                <w:shd w:val="clear" w:color="auto" w:fill="FFFFFF"/>
              </w:rPr>
              <w:t xml:space="preserve"> of Oregon State University and </w:t>
            </w:r>
            <w:hyperlink r:id="rId14" w:history="1">
              <w:r>
                <w:rPr>
                  <w:rStyle w:val="Hyperlink"/>
                  <w:rFonts w:ascii="Georgia" w:hAnsi="Georgia"/>
                  <w:sz w:val="27"/>
                  <w:szCs w:val="27"/>
                  <w:shd w:val="clear" w:color="auto" w:fill="FFFFFF"/>
                </w:rPr>
                <w:t xml:space="preserve">Ann </w:t>
              </w:r>
              <w:proofErr w:type="spellStart"/>
              <w:r>
                <w:rPr>
                  <w:rStyle w:val="Hyperlink"/>
                  <w:rFonts w:ascii="Georgia" w:hAnsi="Georgia"/>
                  <w:sz w:val="27"/>
                  <w:szCs w:val="27"/>
                  <w:shd w:val="clear" w:color="auto" w:fill="FFFFFF"/>
                </w:rPr>
                <w:t>Tickamyer</w:t>
              </w:r>
              <w:proofErr w:type="spellEnd"/>
            </w:hyperlink>
            <w:r>
              <w:rPr>
                <w:rFonts w:ascii="Georgia" w:hAnsi="Georgia"/>
                <w:color w:val="494949"/>
                <w:sz w:val="27"/>
                <w:szCs w:val="27"/>
                <w:shd w:val="clear" w:color="auto" w:fill="FFFFFF"/>
              </w:rPr>
              <w:t xml:space="preserve"> of Pennsylvania State University will review </w:t>
            </w:r>
            <w:r>
              <w:rPr>
                <w:rFonts w:ascii="Georgia" w:hAnsi="Georgia"/>
                <w:color w:val="494949"/>
                <w:sz w:val="27"/>
                <w:szCs w:val="27"/>
                <w:shd w:val="clear" w:color="auto" w:fill="FFFFFF"/>
              </w:rPr>
              <w:lastRenderedPageBreak/>
              <w:t>the nation’s progress in reducing rural poverty in the United States, summarizing what has been learned about changes in the economics, demography and geography of rural poverty and about the impact of the social safety net over the last 50 years, and they will offer suggestions about needed research and policy going forward.</w:t>
            </w:r>
            <w:proofErr w:type="gramEnd"/>
          </w:p>
          <w:p w:rsidR="00754B91" w:rsidRDefault="00754B91">
            <w:r>
              <w:rPr>
                <w:color w:val="1F497D"/>
              </w:rPr>
              <w:t> </w:t>
            </w:r>
          </w:p>
          <w:p w:rsidR="00754B91" w:rsidRDefault="00754B91">
            <w:hyperlink r:id="rId15" w:history="1">
              <w:r>
                <w:rPr>
                  <w:rStyle w:val="Hyperlink"/>
                  <w:rFonts w:ascii="Georgia" w:hAnsi="Georgia"/>
                  <w:b/>
                  <w:bCs/>
                  <w:sz w:val="27"/>
                  <w:szCs w:val="27"/>
                  <w:shd w:val="clear" w:color="auto" w:fill="FFFFFF"/>
                </w:rPr>
                <w:t>View Past Webinars</w:t>
              </w:r>
            </w:hyperlink>
          </w:p>
        </w:tc>
        <w:tc>
          <w:tcPr>
            <w:tcW w:w="3935" w:type="dxa"/>
            <w:gridSpan w:val="3"/>
            <w:tcMar>
              <w:top w:w="0" w:type="dxa"/>
              <w:left w:w="108" w:type="dxa"/>
              <w:bottom w:w="0" w:type="dxa"/>
              <w:right w:w="108" w:type="dxa"/>
            </w:tcMar>
            <w:vAlign w:val="center"/>
            <w:hideMark/>
          </w:tcPr>
          <w:p w:rsidR="00754B91" w:rsidRDefault="00754B91"/>
        </w:tc>
      </w:tr>
      <w:tr w:rsidR="00754B91" w:rsidTr="00754B91">
        <w:trPr>
          <w:trHeight w:val="157"/>
        </w:trPr>
        <w:tc>
          <w:tcPr>
            <w:tcW w:w="0" w:type="auto"/>
            <w:gridSpan w:val="2"/>
            <w:vMerge/>
            <w:vAlign w:val="center"/>
            <w:hideMark/>
          </w:tcPr>
          <w:p w:rsidR="00754B91" w:rsidRDefault="00754B91"/>
        </w:tc>
        <w:tc>
          <w:tcPr>
            <w:tcW w:w="1967" w:type="dxa"/>
            <w:gridSpan w:val="2"/>
            <w:tcMar>
              <w:top w:w="0" w:type="dxa"/>
              <w:left w:w="108" w:type="dxa"/>
              <w:bottom w:w="0" w:type="dxa"/>
              <w:right w:w="108" w:type="dxa"/>
            </w:tcMar>
            <w:vAlign w:val="center"/>
            <w:hideMark/>
          </w:tcPr>
          <w:p w:rsidR="00754B91" w:rsidRDefault="00754B91">
            <w:pPr>
              <w:jc w:val="center"/>
            </w:pPr>
            <w:r>
              <w:rPr>
                <w:noProof/>
              </w:rPr>
              <w:drawing>
                <wp:inline distT="0" distB="0" distL="0" distR="0">
                  <wp:extent cx="1343025" cy="1609725"/>
                  <wp:effectExtent l="0" t="0" r="9525" b="9525"/>
                  <wp:docPr id="2" name="Picture 2" descr="https://appliedecon.oregonstate.edu/sites/agscid7/files/styles/osu_person_image/public/weber220x220.jpg?itok=vpp1vV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liedecon.oregonstate.edu/sites/agscid7/files/styles/osu_person_image/public/weber220x220.jpg?itok=vpp1vVu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43025" cy="1609725"/>
                          </a:xfrm>
                          <a:prstGeom prst="rect">
                            <a:avLst/>
                          </a:prstGeom>
                          <a:noFill/>
                          <a:ln>
                            <a:noFill/>
                          </a:ln>
                        </pic:spPr>
                      </pic:pic>
                    </a:graphicData>
                  </a:graphic>
                </wp:inline>
              </w:drawing>
            </w:r>
          </w:p>
        </w:tc>
        <w:tc>
          <w:tcPr>
            <w:tcW w:w="1968" w:type="dxa"/>
            <w:vAlign w:val="center"/>
            <w:hideMark/>
          </w:tcPr>
          <w:p w:rsidR="00754B91" w:rsidRDefault="00754B91">
            <w:pPr>
              <w:jc w:val="center"/>
            </w:pPr>
            <w:r>
              <w:rPr>
                <w:noProof/>
              </w:rPr>
              <w:drawing>
                <wp:inline distT="0" distB="0" distL="0" distR="0">
                  <wp:extent cx="1343025" cy="1628775"/>
                  <wp:effectExtent l="0" t="0" r="9525" b="9525"/>
                  <wp:docPr id="1" name="Picture 1" descr="Ann Tickamyer,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 Tickamyer, Ph.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43025" cy="1628775"/>
                          </a:xfrm>
                          <a:prstGeom prst="rect">
                            <a:avLst/>
                          </a:prstGeom>
                          <a:noFill/>
                          <a:ln>
                            <a:noFill/>
                          </a:ln>
                        </pic:spPr>
                      </pic:pic>
                    </a:graphicData>
                  </a:graphic>
                </wp:inline>
              </w:drawing>
            </w:r>
          </w:p>
        </w:tc>
      </w:tr>
      <w:tr w:rsidR="00754B91" w:rsidTr="00754B91">
        <w:trPr>
          <w:trHeight w:val="351"/>
        </w:trPr>
        <w:tc>
          <w:tcPr>
            <w:tcW w:w="7200" w:type="dxa"/>
            <w:gridSpan w:val="2"/>
            <w:tcMar>
              <w:top w:w="0" w:type="dxa"/>
              <w:left w:w="108" w:type="dxa"/>
              <w:bottom w:w="0" w:type="dxa"/>
              <w:right w:w="108" w:type="dxa"/>
            </w:tcMar>
            <w:hideMark/>
          </w:tcPr>
          <w:p w:rsidR="00754B91" w:rsidRDefault="00754B91">
            <w:r>
              <w:rPr>
                <w:rFonts w:ascii="Adobe Garamond Pro" w:hAnsi="Adobe Garamond Pro"/>
              </w:rPr>
              <w:t> </w:t>
            </w:r>
          </w:p>
        </w:tc>
        <w:tc>
          <w:tcPr>
            <w:tcW w:w="3935" w:type="dxa"/>
            <w:gridSpan w:val="3"/>
            <w:tcMar>
              <w:top w:w="0" w:type="dxa"/>
              <w:left w:w="108" w:type="dxa"/>
              <w:bottom w:w="0" w:type="dxa"/>
              <w:right w:w="108" w:type="dxa"/>
            </w:tcMar>
            <w:vAlign w:val="center"/>
            <w:hideMark/>
          </w:tcPr>
          <w:p w:rsidR="00754B91" w:rsidRDefault="00754B91">
            <w:r>
              <w:rPr>
                <w:rFonts w:ascii="Adobe Garamond Pro" w:hAnsi="Adobe Garamond Pro"/>
                <w:sz w:val="20"/>
                <w:szCs w:val="20"/>
              </w:rPr>
              <w:t>    </w:t>
            </w:r>
          </w:p>
        </w:tc>
      </w:tr>
      <w:tr w:rsidR="00754B91" w:rsidTr="00754B91">
        <w:trPr>
          <w:trHeight w:val="360"/>
        </w:trPr>
        <w:tc>
          <w:tcPr>
            <w:tcW w:w="7200" w:type="dxa"/>
            <w:gridSpan w:val="2"/>
            <w:shd w:val="clear" w:color="auto" w:fill="C00000"/>
            <w:tcMar>
              <w:top w:w="0" w:type="dxa"/>
              <w:left w:w="108" w:type="dxa"/>
              <w:bottom w:w="0" w:type="dxa"/>
              <w:right w:w="108" w:type="dxa"/>
            </w:tcMar>
            <w:hideMark/>
          </w:tcPr>
          <w:p w:rsidR="00754B91" w:rsidRDefault="00754B91">
            <w:r>
              <w:rPr>
                <w:rFonts w:ascii="Adobe Garamond Pro" w:hAnsi="Adobe Garamond Pro"/>
              </w:rPr>
              <w:t> </w:t>
            </w:r>
          </w:p>
        </w:tc>
        <w:tc>
          <w:tcPr>
            <w:tcW w:w="3935" w:type="dxa"/>
            <w:gridSpan w:val="3"/>
            <w:shd w:val="clear" w:color="auto" w:fill="C00000"/>
            <w:tcMar>
              <w:top w:w="0" w:type="dxa"/>
              <w:left w:w="108" w:type="dxa"/>
              <w:bottom w:w="0" w:type="dxa"/>
              <w:right w:w="108" w:type="dxa"/>
            </w:tcMar>
            <w:vAlign w:val="center"/>
            <w:hideMark/>
          </w:tcPr>
          <w:p w:rsidR="00754B91" w:rsidRDefault="00754B91">
            <w:r>
              <w:rPr>
                <w:rFonts w:ascii="Adobe Garamond Pro" w:hAnsi="Adobe Garamond Pro"/>
                <w:sz w:val="20"/>
                <w:szCs w:val="20"/>
              </w:rPr>
              <w:t> </w:t>
            </w:r>
          </w:p>
        </w:tc>
      </w:tr>
      <w:tr w:rsidR="00754B91" w:rsidTr="00754B91">
        <w:trPr>
          <w:trHeight w:val="1755"/>
        </w:trPr>
        <w:tc>
          <w:tcPr>
            <w:tcW w:w="11135" w:type="dxa"/>
            <w:gridSpan w:val="5"/>
            <w:shd w:val="clear" w:color="auto" w:fill="FFFFFF"/>
            <w:tcMar>
              <w:top w:w="0" w:type="dxa"/>
              <w:left w:w="108" w:type="dxa"/>
              <w:bottom w:w="0" w:type="dxa"/>
              <w:right w:w="108" w:type="dxa"/>
            </w:tcMar>
            <w:hideMark/>
          </w:tcPr>
          <w:tbl>
            <w:tblPr>
              <w:tblpPr w:leftFromText="180" w:rightFromText="180" w:vertAnchor="text"/>
              <w:tblW w:w="10080" w:type="dxa"/>
              <w:shd w:val="clear" w:color="auto" w:fill="FFFFFF"/>
              <w:tblCellMar>
                <w:left w:w="0" w:type="dxa"/>
                <w:right w:w="0" w:type="dxa"/>
              </w:tblCellMar>
              <w:tblLook w:val="04A0" w:firstRow="1" w:lastRow="0" w:firstColumn="1" w:lastColumn="0" w:noHBand="0" w:noVBand="1"/>
            </w:tblPr>
            <w:tblGrid>
              <w:gridCol w:w="10080"/>
            </w:tblGrid>
            <w:tr w:rsidR="00754B91">
              <w:trPr>
                <w:trHeight w:val="2016"/>
              </w:trPr>
              <w:tc>
                <w:tcPr>
                  <w:tcW w:w="5000" w:type="pct"/>
                  <w:shd w:val="clear" w:color="auto" w:fill="FFFFFF"/>
                  <w:tcMar>
                    <w:top w:w="144" w:type="dxa"/>
                    <w:left w:w="115" w:type="dxa"/>
                    <w:bottom w:w="0" w:type="dxa"/>
                    <w:right w:w="115" w:type="dxa"/>
                  </w:tcMar>
                  <w:hideMark/>
                </w:tcPr>
                <w:p w:rsidR="00754B91" w:rsidRDefault="00754B91">
                  <w:r>
                    <w:rPr>
                      <w:rFonts w:ascii="Helvetica" w:hAnsi="Helvetica"/>
                      <w:color w:val="606060"/>
                      <w:sz w:val="17"/>
                      <w:szCs w:val="17"/>
                    </w:rPr>
                    <w:t xml:space="preserve">The Institute for Research on Poverty (IRP), the nation’s original poverty research center, </w:t>
                  </w:r>
                  <w:proofErr w:type="gramStart"/>
                  <w:r>
                    <w:rPr>
                      <w:rFonts w:ascii="Helvetica" w:hAnsi="Helvetica"/>
                      <w:color w:val="606060"/>
                      <w:sz w:val="17"/>
                      <w:szCs w:val="17"/>
                    </w:rPr>
                    <w:t>was established</w:t>
                  </w:r>
                  <w:proofErr w:type="gramEnd"/>
                  <w:r>
                    <w:rPr>
                      <w:rFonts w:ascii="Helvetica" w:hAnsi="Helvetica"/>
                      <w:color w:val="606060"/>
                      <w:sz w:val="17"/>
                      <w:szCs w:val="17"/>
                    </w:rPr>
                    <w:t xml:space="preserve"> in 1966 at the University of Wisconsin–Madison as a university-based, multidisciplinary research center into the causes and consequences of poverty and social inequality in the United States. IRP is nonprofit and nonpartisan. </w:t>
                  </w:r>
                  <w:r>
                    <w:rPr>
                      <w:rFonts w:ascii="Helvetica" w:hAnsi="Helvetica"/>
                      <w:color w:val="606060"/>
                      <w:sz w:val="17"/>
                      <w:szCs w:val="17"/>
                    </w:rPr>
                    <w:br/>
                  </w:r>
                  <w:r>
                    <w:rPr>
                      <w:rFonts w:ascii="Helvetica" w:hAnsi="Helvetica"/>
                      <w:color w:val="606060"/>
                      <w:sz w:val="17"/>
                      <w:szCs w:val="17"/>
                    </w:rPr>
                    <w:br/>
                    <w:t xml:space="preserve">This webinar series </w:t>
                  </w:r>
                  <w:proofErr w:type="gramStart"/>
                  <w:r>
                    <w:rPr>
                      <w:rFonts w:ascii="Helvetica" w:hAnsi="Helvetica"/>
                      <w:color w:val="606060"/>
                      <w:sz w:val="17"/>
                      <w:szCs w:val="17"/>
                    </w:rPr>
                    <w:t>is supported by Grant Number AE00010</w:t>
                  </w:r>
                  <w:r>
                    <w:rPr>
                      <w:rFonts w:ascii="Helvetica" w:hAnsi="Helvetica"/>
                      <w:sz w:val="17"/>
                      <w:szCs w:val="17"/>
                    </w:rPr>
                    <w:t>3</w:t>
                  </w:r>
                  <w:r>
                    <w:rPr>
                      <w:rFonts w:ascii="Helvetica" w:hAnsi="Helvetica"/>
                      <w:color w:val="606060"/>
                      <w:sz w:val="17"/>
                      <w:szCs w:val="17"/>
                    </w:rPr>
                    <w:t xml:space="preserve"> from the U.S. Department of Health and Human Services, Office of the Assistant Secretary for Planning and Evaluation (ASPE), and awarded by the Substance Abuse and Mental Health Services Administration (SAMHSA)</w:t>
                  </w:r>
                  <w:proofErr w:type="gramEnd"/>
                  <w:r>
                    <w:rPr>
                      <w:rFonts w:ascii="Helvetica" w:hAnsi="Helvetica"/>
                      <w:color w:val="606060"/>
                      <w:sz w:val="17"/>
                      <w:szCs w:val="17"/>
                    </w:rPr>
                    <w:t>. Its contents are solely the responsibility of the presenters and do not necessarily represent the official views of IRP, ASPE, or SAMHSA</w:t>
                  </w:r>
                </w:p>
                <w:p w:rsidR="00754B91" w:rsidRDefault="00754B91">
                  <w:pPr>
                    <w:jc w:val="center"/>
                  </w:pPr>
                  <w:r>
                    <w:rPr>
                      <w:rFonts w:ascii="Helvetica" w:hAnsi="Helvetica"/>
                      <w:color w:val="606060"/>
                      <w:sz w:val="17"/>
                      <w:szCs w:val="17"/>
                    </w:rPr>
                    <w:t> </w:t>
                  </w:r>
                </w:p>
                <w:p w:rsidR="00754B91" w:rsidRDefault="00754B91">
                  <w:pPr>
                    <w:jc w:val="center"/>
                  </w:pPr>
                  <w:r>
                    <w:rPr>
                      <w:rFonts w:ascii="Helvetica" w:hAnsi="Helvetica"/>
                      <w:color w:val="606060"/>
                      <w:sz w:val="17"/>
                      <w:szCs w:val="17"/>
                    </w:rPr>
                    <w:br/>
                  </w:r>
                  <w:r>
                    <w:rPr>
                      <w:rStyle w:val="Strong"/>
                      <w:rFonts w:ascii="Helvetica" w:hAnsi="Helvetica"/>
                      <w:color w:val="606060"/>
                      <w:sz w:val="17"/>
                      <w:szCs w:val="17"/>
                    </w:rPr>
                    <w:t>Our mailing address is:</w:t>
                  </w:r>
                  <w:r>
                    <w:rPr>
                      <w:rFonts w:ascii="Helvetica" w:hAnsi="Helvetica"/>
                      <w:color w:val="606060"/>
                      <w:sz w:val="17"/>
                      <w:szCs w:val="17"/>
                    </w:rPr>
                    <w:br/>
                    <w:t>Institute for Research on Poverty</w:t>
                  </w:r>
                  <w:r>
                    <w:rPr>
                      <w:rFonts w:ascii="Helvetica" w:hAnsi="Helvetica"/>
                      <w:color w:val="606060"/>
                      <w:sz w:val="17"/>
                      <w:szCs w:val="17"/>
                    </w:rPr>
                    <w:br/>
                    <w:t>3412 Sewell Social Sciences Building</w:t>
                  </w:r>
                  <w:r>
                    <w:rPr>
                      <w:rFonts w:ascii="Helvetica" w:hAnsi="Helvetica"/>
                      <w:color w:val="606060"/>
                      <w:sz w:val="17"/>
                      <w:szCs w:val="17"/>
                    </w:rPr>
                    <w:br/>
                    <w:t>1180 Observatory Drive</w:t>
                  </w:r>
                  <w:r>
                    <w:rPr>
                      <w:rFonts w:ascii="Helvetica" w:hAnsi="Helvetica"/>
                      <w:color w:val="606060"/>
                      <w:sz w:val="17"/>
                      <w:szCs w:val="17"/>
                    </w:rPr>
                    <w:br/>
                    <w:t>Madison, WI 53706</w:t>
                  </w:r>
                </w:p>
              </w:tc>
            </w:tr>
            <w:tr w:rsidR="00754B91">
              <w:trPr>
                <w:trHeight w:val="306"/>
              </w:trPr>
              <w:tc>
                <w:tcPr>
                  <w:tcW w:w="5000" w:type="pct"/>
                  <w:shd w:val="clear" w:color="auto" w:fill="FFFFFF"/>
                  <w:tcMar>
                    <w:top w:w="144" w:type="dxa"/>
                    <w:left w:w="115" w:type="dxa"/>
                    <w:bottom w:w="0" w:type="dxa"/>
                    <w:right w:w="115" w:type="dxa"/>
                  </w:tcMar>
                  <w:vAlign w:val="center"/>
                  <w:hideMark/>
                </w:tcPr>
                <w:p w:rsidR="00754B91" w:rsidRDefault="00754B91">
                  <w:pPr>
                    <w:jc w:val="center"/>
                  </w:pPr>
                  <w:r>
                    <w:rPr>
                      <w:rFonts w:ascii="Adobe Garamond Pro" w:hAnsi="Adobe Garamond Pro"/>
                      <w:sz w:val="17"/>
                      <w:szCs w:val="17"/>
                    </w:rPr>
                    <w:t>To change your email preferences, send a blank email using one of the following links:</w:t>
                  </w:r>
                  <w:r>
                    <w:t xml:space="preserve"> </w:t>
                  </w:r>
                  <w:hyperlink r:id="rId20" w:tgtFrame="_blank" w:history="1">
                    <w:r>
                      <w:rPr>
                        <w:rStyle w:val="Hyperlink"/>
                        <w:rFonts w:ascii="Adobe Garamond Pro" w:hAnsi="Adobe Garamond Pro"/>
                        <w:color w:val="606060"/>
                        <w:sz w:val="17"/>
                        <w:szCs w:val="17"/>
                      </w:rPr>
                      <w:t>unsubscribe from this list</w:t>
                    </w:r>
                  </w:hyperlink>
                  <w:r>
                    <w:rPr>
                      <w:rFonts w:ascii="Adobe Garamond Pro" w:hAnsi="Adobe Garamond Pro"/>
                      <w:color w:val="606060"/>
                      <w:sz w:val="17"/>
                      <w:szCs w:val="17"/>
                    </w:rPr>
                    <w:t xml:space="preserve">    </w:t>
                  </w:r>
                  <w:hyperlink r:id="rId21" w:tgtFrame="_blank" w:history="1">
                    <w:r>
                      <w:rPr>
                        <w:rStyle w:val="Hyperlink"/>
                        <w:rFonts w:ascii="Adobe Garamond Pro" w:hAnsi="Adobe Garamond Pro"/>
                        <w:color w:val="606060"/>
                        <w:sz w:val="17"/>
                        <w:szCs w:val="17"/>
                      </w:rPr>
                      <w:t>join this list</w:t>
                    </w:r>
                  </w:hyperlink>
                </w:p>
                <w:p w:rsidR="00754B91" w:rsidRDefault="00754B91">
                  <w:pPr>
                    <w:jc w:val="center"/>
                  </w:pPr>
                  <w:r>
                    <w:t> </w:t>
                  </w:r>
                </w:p>
              </w:tc>
            </w:tr>
          </w:tbl>
          <w:p w:rsidR="00754B91" w:rsidRDefault="00754B91">
            <w:pPr>
              <w:rPr>
                <w:rFonts w:ascii="Times New Roman" w:eastAsia="Times New Roman" w:hAnsi="Times New Roman" w:cs="Times New Roman"/>
                <w:sz w:val="20"/>
                <w:szCs w:val="20"/>
              </w:rPr>
            </w:pPr>
          </w:p>
        </w:tc>
      </w:tr>
      <w:tr w:rsidR="00754B91" w:rsidTr="00754B91">
        <w:tc>
          <w:tcPr>
            <w:tcW w:w="4250" w:type="dxa"/>
            <w:vAlign w:val="center"/>
            <w:hideMark/>
          </w:tcPr>
          <w:p w:rsidR="00754B91" w:rsidRDefault="00754B91">
            <w:pPr>
              <w:rPr>
                <w:rFonts w:ascii="Times New Roman" w:eastAsia="Times New Roman" w:hAnsi="Times New Roman" w:cs="Times New Roman"/>
                <w:sz w:val="20"/>
                <w:szCs w:val="20"/>
              </w:rPr>
            </w:pPr>
          </w:p>
        </w:tc>
        <w:tc>
          <w:tcPr>
            <w:tcW w:w="2950" w:type="dxa"/>
            <w:hideMark/>
          </w:tcPr>
          <w:p w:rsidR="00754B91" w:rsidRDefault="00754B91">
            <w:pPr>
              <w:rPr>
                <w:rFonts w:ascii="Times New Roman" w:eastAsia="Times New Roman" w:hAnsi="Times New Roman" w:cs="Times New Roman"/>
                <w:sz w:val="20"/>
                <w:szCs w:val="20"/>
              </w:rPr>
            </w:pPr>
          </w:p>
        </w:tc>
        <w:tc>
          <w:tcPr>
            <w:tcW w:w="1891" w:type="dxa"/>
            <w:vAlign w:val="center"/>
            <w:hideMark/>
          </w:tcPr>
          <w:p w:rsidR="00754B91" w:rsidRDefault="00754B91">
            <w:pPr>
              <w:rPr>
                <w:rFonts w:ascii="Times New Roman" w:eastAsia="Times New Roman" w:hAnsi="Times New Roman" w:cs="Times New Roman"/>
                <w:sz w:val="20"/>
                <w:szCs w:val="20"/>
              </w:rPr>
            </w:pPr>
          </w:p>
        </w:tc>
        <w:tc>
          <w:tcPr>
            <w:tcW w:w="2044" w:type="dxa"/>
            <w:gridSpan w:val="2"/>
            <w:vAlign w:val="center"/>
            <w:hideMark/>
          </w:tcPr>
          <w:p w:rsidR="00754B91" w:rsidRDefault="00754B91">
            <w:pPr>
              <w:rPr>
                <w:rFonts w:ascii="Times New Roman" w:eastAsia="Times New Roman" w:hAnsi="Times New Roman" w:cs="Times New Roman"/>
                <w:sz w:val="20"/>
                <w:szCs w:val="20"/>
              </w:rPr>
            </w:pPr>
          </w:p>
        </w:tc>
      </w:tr>
      <w:tr w:rsidR="00754B91" w:rsidTr="00754B91">
        <w:tc>
          <w:tcPr>
            <w:tcW w:w="4245" w:type="dxa"/>
            <w:vAlign w:val="center"/>
            <w:hideMark/>
          </w:tcPr>
          <w:p w:rsidR="00754B91" w:rsidRDefault="00754B91">
            <w:pPr>
              <w:rPr>
                <w:rFonts w:ascii="Times New Roman" w:eastAsia="Times New Roman" w:hAnsi="Times New Roman" w:cs="Times New Roman"/>
                <w:sz w:val="20"/>
                <w:szCs w:val="20"/>
              </w:rPr>
            </w:pPr>
          </w:p>
        </w:tc>
        <w:tc>
          <w:tcPr>
            <w:tcW w:w="1920" w:type="dxa"/>
            <w:vAlign w:val="center"/>
            <w:hideMark/>
          </w:tcPr>
          <w:p w:rsidR="00754B91" w:rsidRDefault="00754B91">
            <w:pPr>
              <w:rPr>
                <w:rFonts w:ascii="Times New Roman" w:eastAsia="Times New Roman" w:hAnsi="Times New Roman" w:cs="Times New Roman"/>
                <w:sz w:val="20"/>
                <w:szCs w:val="20"/>
              </w:rPr>
            </w:pPr>
          </w:p>
        </w:tc>
        <w:tc>
          <w:tcPr>
            <w:tcW w:w="2250" w:type="dxa"/>
            <w:vAlign w:val="center"/>
            <w:hideMark/>
          </w:tcPr>
          <w:p w:rsidR="00754B91" w:rsidRDefault="00754B91">
            <w:pPr>
              <w:rPr>
                <w:rFonts w:ascii="Times New Roman" w:eastAsia="Times New Roman" w:hAnsi="Times New Roman" w:cs="Times New Roman"/>
                <w:sz w:val="20"/>
                <w:szCs w:val="20"/>
              </w:rPr>
            </w:pPr>
          </w:p>
        </w:tc>
        <w:tc>
          <w:tcPr>
            <w:tcW w:w="90" w:type="dxa"/>
            <w:vAlign w:val="center"/>
            <w:hideMark/>
          </w:tcPr>
          <w:p w:rsidR="00754B91" w:rsidRDefault="00754B91">
            <w:pPr>
              <w:rPr>
                <w:rFonts w:ascii="Times New Roman" w:eastAsia="Times New Roman" w:hAnsi="Times New Roman" w:cs="Times New Roman"/>
                <w:sz w:val="20"/>
                <w:szCs w:val="20"/>
              </w:rPr>
            </w:pPr>
          </w:p>
        </w:tc>
        <w:tc>
          <w:tcPr>
            <w:tcW w:w="2115" w:type="dxa"/>
            <w:vAlign w:val="center"/>
            <w:hideMark/>
          </w:tcPr>
          <w:p w:rsidR="00754B91" w:rsidRDefault="00754B91">
            <w:pPr>
              <w:rPr>
                <w:rFonts w:ascii="Times New Roman" w:eastAsia="Times New Roman" w:hAnsi="Times New Roman" w:cs="Times New Roman"/>
                <w:sz w:val="20"/>
                <w:szCs w:val="20"/>
              </w:rPr>
            </w:pPr>
          </w:p>
        </w:tc>
      </w:tr>
    </w:tbl>
    <w:p w:rsidR="00274B5E" w:rsidRDefault="00274B5E"/>
    <w:sectPr w:rsidR="00274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91"/>
    <w:rsid w:val="00274B5E"/>
    <w:rsid w:val="0075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FA38"/>
  <w15:chartTrackingRefBased/>
  <w15:docId w15:val="{648155BF-EE15-485A-84BF-F1113BB3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B91"/>
    <w:rPr>
      <w:color w:val="0563C1"/>
      <w:u w:val="single"/>
    </w:rPr>
  </w:style>
  <w:style w:type="character" w:styleId="Strong">
    <w:name w:val="Strong"/>
    <w:basedOn w:val="DefaultParagraphFont"/>
    <w:uiPriority w:val="22"/>
    <w:qFormat/>
    <w:rsid w:val="00754B91"/>
    <w:rPr>
      <w:rFonts w:ascii="Times New Roman" w:hAnsi="Times New Roman" w:cs="Times New Roman" w:hint="default"/>
      <w:b/>
      <w:bCs/>
    </w:rPr>
  </w:style>
  <w:style w:type="character" w:styleId="Emphasis">
    <w:name w:val="Emphasis"/>
    <w:basedOn w:val="DefaultParagraphFont"/>
    <w:uiPriority w:val="20"/>
    <w:qFormat/>
    <w:rsid w:val="00754B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3984.04358670" TargetMode="External"/><Relationship Id="rId13" Type="http://schemas.openxmlformats.org/officeDocument/2006/relationships/hyperlink" Target="https://appliedecon.oregonstate.edu/users/bruce-weber"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mailto:join-irpwebinar@lists.wisc.edu?subject=Join" TargetMode="External"/><Relationship Id="rId7" Type="http://schemas.openxmlformats.org/officeDocument/2006/relationships/image" Target="media/image2.png"/><Relationship Id="rId12" Type="http://schemas.openxmlformats.org/officeDocument/2006/relationships/image" Target="cid:image004.png@01D43984.04358670" TargetMode="External"/><Relationship Id="rId17" Type="http://schemas.openxmlformats.org/officeDocument/2006/relationships/image" Target="cid:image005.jpg@01D43984.04358670"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mailto:leave-irpwebinar@lists.wisc.edu?subject=Unsubscribe" TargetMode="External"/><Relationship Id="rId1" Type="http://schemas.openxmlformats.org/officeDocument/2006/relationships/styles" Target="styles.xml"/><Relationship Id="rId6" Type="http://schemas.openxmlformats.org/officeDocument/2006/relationships/image" Target="cid:image001.png@01D43984.0435867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playlist?list=PLA-EzOD4miZeY2vMAzs_uod0vPvm-PDII" TargetMode="External"/><Relationship Id="rId23" Type="http://schemas.openxmlformats.org/officeDocument/2006/relationships/theme" Target="theme/theme1.xml"/><Relationship Id="rId10" Type="http://schemas.openxmlformats.org/officeDocument/2006/relationships/image" Target="cid:image003.png@01D43984.04358670" TargetMode="External"/><Relationship Id="rId19" Type="http://schemas.openxmlformats.org/officeDocument/2006/relationships/image" Target="cid:image006.jpg@01D43984.04358670" TargetMode="External"/><Relationship Id="rId4" Type="http://schemas.openxmlformats.org/officeDocument/2006/relationships/hyperlink" Target="https://www.irp.wisc.edu/wp/wp-content/uploads/2018/08/webinar-09-12-2018.ics" TargetMode="External"/><Relationship Id="rId9" Type="http://schemas.openxmlformats.org/officeDocument/2006/relationships/image" Target="media/image3.png"/><Relationship Id="rId14" Type="http://schemas.openxmlformats.org/officeDocument/2006/relationships/hyperlink" Target="https://aese.psu.edu/directory/art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Taber, Erin K</dc:creator>
  <cp:keywords/>
  <dc:description/>
  <cp:lastModifiedBy>Taber, Erin K</cp:lastModifiedBy>
  <cp:revision>1</cp:revision>
  <dcterms:created xsi:type="dcterms:W3CDTF">2018-08-22T16:13:00Z</dcterms:created>
  <dcterms:modified xsi:type="dcterms:W3CDTF">2018-08-22T16:14:00Z</dcterms:modified>
</cp:coreProperties>
</file>