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21" w:rsidRDefault="00061121" w:rsidP="00061000">
      <w:pPr>
        <w:spacing w:line="276" w:lineRule="auto"/>
        <w:jc w:val="center"/>
        <w:rPr>
          <w:sz w:val="24"/>
          <w:szCs w:val="24"/>
        </w:rPr>
      </w:pPr>
    </w:p>
    <w:p w:rsidR="00061121" w:rsidRDefault="00061121" w:rsidP="00061000">
      <w:pPr>
        <w:spacing w:line="276" w:lineRule="auto"/>
        <w:jc w:val="center"/>
        <w:rPr>
          <w:sz w:val="24"/>
          <w:szCs w:val="24"/>
        </w:rPr>
      </w:pPr>
    </w:p>
    <w:p w:rsidR="00061121" w:rsidRDefault="00061121" w:rsidP="00061000">
      <w:pPr>
        <w:spacing w:line="276" w:lineRule="auto"/>
        <w:jc w:val="center"/>
        <w:rPr>
          <w:sz w:val="24"/>
          <w:szCs w:val="24"/>
        </w:rPr>
      </w:pPr>
    </w:p>
    <w:p w:rsidR="00061121" w:rsidRDefault="00061121" w:rsidP="00061000">
      <w:pPr>
        <w:spacing w:line="276" w:lineRule="auto"/>
        <w:jc w:val="center"/>
        <w:rPr>
          <w:sz w:val="24"/>
          <w:szCs w:val="24"/>
        </w:rPr>
      </w:pPr>
    </w:p>
    <w:p w:rsidR="0001200B" w:rsidRPr="00061000" w:rsidRDefault="00061000" w:rsidP="00061000">
      <w:pPr>
        <w:spacing w:line="276" w:lineRule="auto"/>
        <w:jc w:val="center"/>
        <w:rPr>
          <w:sz w:val="24"/>
          <w:szCs w:val="24"/>
        </w:rPr>
      </w:pPr>
      <w:r>
        <w:rPr>
          <w:sz w:val="24"/>
          <w:szCs w:val="24"/>
        </w:rPr>
        <w:t xml:space="preserve">Written </w:t>
      </w:r>
      <w:r w:rsidR="00F90E2B" w:rsidRPr="00061000">
        <w:rPr>
          <w:sz w:val="24"/>
          <w:szCs w:val="24"/>
        </w:rPr>
        <w:t xml:space="preserve">Testimony </w:t>
      </w:r>
      <w:r>
        <w:rPr>
          <w:sz w:val="24"/>
          <w:szCs w:val="24"/>
        </w:rPr>
        <w:t xml:space="preserve">Prepared for the </w:t>
      </w:r>
      <w:r w:rsidR="00F90E2B" w:rsidRPr="00061000">
        <w:rPr>
          <w:sz w:val="24"/>
          <w:szCs w:val="24"/>
        </w:rPr>
        <w:t>U.S. Senate Committee on Finance</w:t>
      </w:r>
    </w:p>
    <w:p w:rsidR="00F90E2B" w:rsidRPr="00061000" w:rsidRDefault="00F90E2B" w:rsidP="00061000">
      <w:pPr>
        <w:spacing w:line="276" w:lineRule="auto"/>
        <w:jc w:val="center"/>
        <w:rPr>
          <w:sz w:val="24"/>
          <w:szCs w:val="24"/>
        </w:rPr>
      </w:pPr>
      <w:r w:rsidRPr="00061000">
        <w:rPr>
          <w:sz w:val="24"/>
          <w:szCs w:val="24"/>
        </w:rPr>
        <w:t>May 24, 2018</w:t>
      </w:r>
    </w:p>
    <w:p w:rsidR="00F90E2B" w:rsidRPr="00061000" w:rsidRDefault="00F90E2B" w:rsidP="00061000">
      <w:pPr>
        <w:spacing w:after="0" w:line="276" w:lineRule="auto"/>
        <w:jc w:val="center"/>
        <w:rPr>
          <w:sz w:val="24"/>
          <w:szCs w:val="24"/>
        </w:rPr>
      </w:pPr>
      <w:r w:rsidRPr="00061000">
        <w:rPr>
          <w:sz w:val="24"/>
          <w:szCs w:val="24"/>
        </w:rPr>
        <w:t>Keith J. Mueller, Ph.D.</w:t>
      </w:r>
    </w:p>
    <w:p w:rsidR="00F90E2B" w:rsidRPr="00061000" w:rsidRDefault="00F90E2B" w:rsidP="00061000">
      <w:pPr>
        <w:spacing w:after="0" w:line="276" w:lineRule="auto"/>
        <w:jc w:val="center"/>
        <w:rPr>
          <w:sz w:val="24"/>
          <w:szCs w:val="24"/>
        </w:rPr>
      </w:pPr>
      <w:r w:rsidRPr="00061000">
        <w:rPr>
          <w:sz w:val="24"/>
          <w:szCs w:val="24"/>
        </w:rPr>
        <w:t xml:space="preserve">Interim Dean, College of Public Health </w:t>
      </w:r>
    </w:p>
    <w:p w:rsidR="00F90E2B" w:rsidRDefault="00F90E2B" w:rsidP="00061000">
      <w:pPr>
        <w:spacing w:after="0" w:line="276" w:lineRule="auto"/>
        <w:jc w:val="center"/>
        <w:rPr>
          <w:sz w:val="24"/>
          <w:szCs w:val="24"/>
        </w:rPr>
      </w:pPr>
      <w:r w:rsidRPr="00061000">
        <w:rPr>
          <w:sz w:val="24"/>
          <w:szCs w:val="24"/>
        </w:rPr>
        <w:t>Director, RUPRI Center for Rural Health Policy Analysis</w:t>
      </w:r>
    </w:p>
    <w:p w:rsidR="00061121" w:rsidRPr="00061000" w:rsidRDefault="00061121" w:rsidP="00061000">
      <w:pPr>
        <w:spacing w:after="0" w:line="276" w:lineRule="auto"/>
        <w:jc w:val="center"/>
        <w:rPr>
          <w:sz w:val="24"/>
          <w:szCs w:val="24"/>
        </w:rPr>
      </w:pPr>
      <w:r>
        <w:rPr>
          <w:sz w:val="24"/>
          <w:szCs w:val="24"/>
        </w:rPr>
        <w:t>Chair, RUPRI Health Panel</w:t>
      </w:r>
    </w:p>
    <w:p w:rsidR="00F90E2B" w:rsidRPr="00061000" w:rsidRDefault="00F90E2B" w:rsidP="00061000">
      <w:pPr>
        <w:spacing w:after="0" w:line="276" w:lineRule="auto"/>
        <w:jc w:val="center"/>
        <w:rPr>
          <w:sz w:val="24"/>
          <w:szCs w:val="24"/>
        </w:rPr>
      </w:pPr>
      <w:r w:rsidRPr="00061000">
        <w:rPr>
          <w:sz w:val="24"/>
          <w:szCs w:val="24"/>
        </w:rPr>
        <w:t>Gerhard Hartman Professor of Health Management and Policy</w:t>
      </w:r>
    </w:p>
    <w:p w:rsidR="00F90E2B" w:rsidRDefault="00F90E2B" w:rsidP="00061000">
      <w:pPr>
        <w:spacing w:after="0" w:line="276" w:lineRule="auto"/>
        <w:jc w:val="center"/>
        <w:rPr>
          <w:sz w:val="24"/>
          <w:szCs w:val="24"/>
        </w:rPr>
      </w:pPr>
      <w:r w:rsidRPr="00061000">
        <w:rPr>
          <w:sz w:val="24"/>
          <w:szCs w:val="24"/>
        </w:rPr>
        <w:t>University of Iowa</w:t>
      </w:r>
    </w:p>
    <w:p w:rsidR="00061121" w:rsidRDefault="002226F5" w:rsidP="00061000">
      <w:pPr>
        <w:spacing w:after="0" w:line="276" w:lineRule="auto"/>
        <w:jc w:val="center"/>
        <w:rPr>
          <w:sz w:val="24"/>
          <w:szCs w:val="24"/>
        </w:rPr>
      </w:pPr>
      <w:hyperlink r:id="rId8" w:history="1">
        <w:r w:rsidR="00061121" w:rsidRPr="001014AC">
          <w:rPr>
            <w:rStyle w:val="Hyperlink"/>
            <w:sz w:val="24"/>
            <w:szCs w:val="24"/>
          </w:rPr>
          <w:t>Keith-mueller@uiowa.edu</w:t>
        </w:r>
      </w:hyperlink>
    </w:p>
    <w:p w:rsidR="00061121" w:rsidRDefault="002226F5" w:rsidP="00061000">
      <w:pPr>
        <w:spacing w:after="0" w:line="276" w:lineRule="auto"/>
        <w:jc w:val="center"/>
        <w:rPr>
          <w:rStyle w:val="Hyperlink"/>
          <w:sz w:val="24"/>
          <w:szCs w:val="24"/>
        </w:rPr>
      </w:pPr>
      <w:hyperlink r:id="rId9" w:history="1">
        <w:r w:rsidR="00061121" w:rsidRPr="001014AC">
          <w:rPr>
            <w:rStyle w:val="Hyperlink"/>
            <w:sz w:val="24"/>
            <w:szCs w:val="24"/>
          </w:rPr>
          <w:t>www.ruprihealth.org</w:t>
        </w:r>
      </w:hyperlink>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r>
        <w:rPr>
          <w:rStyle w:val="Hyperlink"/>
          <w:sz w:val="24"/>
          <w:szCs w:val="24"/>
        </w:rPr>
        <w:t xml:space="preserve">   </w:t>
      </w: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rStyle w:val="Hyperlink"/>
          <w:sz w:val="24"/>
          <w:szCs w:val="24"/>
        </w:rPr>
      </w:pPr>
    </w:p>
    <w:p w:rsidR="006420E8" w:rsidRDefault="006420E8" w:rsidP="00061000">
      <w:pPr>
        <w:spacing w:after="0" w:line="276" w:lineRule="auto"/>
        <w:jc w:val="center"/>
        <w:rPr>
          <w:noProof/>
        </w:rPr>
      </w:pPr>
      <w:r>
        <w:rPr>
          <w:rStyle w:val="Hyperlink"/>
          <w:sz w:val="24"/>
          <w:szCs w:val="24"/>
        </w:rPr>
        <w:t xml:space="preserve"> </w:t>
      </w:r>
    </w:p>
    <w:p w:rsidR="006420E8" w:rsidRDefault="006420E8" w:rsidP="00061000">
      <w:pPr>
        <w:spacing w:after="0" w:line="276" w:lineRule="auto"/>
        <w:jc w:val="center"/>
        <w:rPr>
          <w:noProof/>
        </w:rPr>
      </w:pPr>
    </w:p>
    <w:p w:rsidR="006420E8" w:rsidRDefault="006420E8" w:rsidP="00061000">
      <w:pPr>
        <w:spacing w:after="0" w:line="276" w:lineRule="auto"/>
        <w:jc w:val="center"/>
        <w:rPr>
          <w:noProof/>
        </w:rPr>
      </w:pPr>
    </w:p>
    <w:p w:rsidR="006420E8" w:rsidRDefault="006420E8" w:rsidP="00061000">
      <w:pPr>
        <w:spacing w:after="0" w:line="276" w:lineRule="auto"/>
        <w:jc w:val="center"/>
        <w:rPr>
          <w:noProof/>
        </w:rPr>
      </w:pPr>
    </w:p>
    <w:p w:rsidR="006420E8" w:rsidRDefault="006420E8" w:rsidP="00061000">
      <w:pPr>
        <w:spacing w:after="0" w:line="276" w:lineRule="auto"/>
        <w:jc w:val="center"/>
        <w:rPr>
          <w:noProof/>
        </w:rPr>
      </w:pPr>
    </w:p>
    <w:p w:rsidR="006420E8" w:rsidRDefault="006420E8" w:rsidP="00061000">
      <w:pPr>
        <w:spacing w:after="0" w:line="276" w:lineRule="auto"/>
        <w:jc w:val="center"/>
        <w:rPr>
          <w:noProof/>
        </w:rPr>
      </w:pPr>
    </w:p>
    <w:p w:rsidR="006420E8" w:rsidRDefault="006420E8" w:rsidP="00061000">
      <w:pPr>
        <w:spacing w:after="0" w:line="276" w:lineRule="auto"/>
        <w:jc w:val="center"/>
        <w:rPr>
          <w:noProof/>
        </w:rPr>
      </w:pPr>
    </w:p>
    <w:p w:rsidR="00E91317" w:rsidRDefault="006420E8" w:rsidP="006420E8">
      <w:pPr>
        <w:spacing w:after="0" w:line="276" w:lineRule="auto"/>
        <w:jc w:val="center"/>
        <w:rPr>
          <w:sz w:val="24"/>
          <w:szCs w:val="24"/>
        </w:rPr>
      </w:pPr>
      <w:r>
        <w:rPr>
          <w:noProof/>
        </w:rPr>
        <w:drawing>
          <wp:inline distT="0" distB="0" distL="0" distR="0" wp14:anchorId="33A063FD" wp14:editId="53944BCE">
            <wp:extent cx="1015682" cy="925802"/>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15682" cy="9258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6420E8">
        <w:rPr>
          <w:rStyle w:val="Hyperlink"/>
          <w:sz w:val="24"/>
          <w:szCs w:val="24"/>
          <w:u w:val="none"/>
        </w:rPr>
        <w:t xml:space="preserve">                                                                </w:t>
      </w:r>
      <w:r>
        <w:rPr>
          <w:noProof/>
        </w:rPr>
        <w:drawing>
          <wp:inline distT="0" distB="0" distL="0" distR="0" wp14:anchorId="30CB5346" wp14:editId="3F8FAF75">
            <wp:extent cx="2237813" cy="925804"/>
            <wp:effectExtent l="0" t="0" r="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813" cy="92580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rStyle w:val="Hyperlink"/>
          <w:sz w:val="24"/>
          <w:szCs w:val="24"/>
        </w:rPr>
        <w:t xml:space="preserve"> </w:t>
      </w:r>
      <w:r w:rsidR="00E91317">
        <w:rPr>
          <w:sz w:val="24"/>
          <w:szCs w:val="24"/>
        </w:rPr>
        <w:br w:type="page"/>
      </w:r>
    </w:p>
    <w:p w:rsidR="00F90E2B" w:rsidRDefault="00F90E2B" w:rsidP="00E9522B">
      <w:pPr>
        <w:spacing w:after="0" w:line="276" w:lineRule="auto"/>
        <w:ind w:firstLine="720"/>
        <w:rPr>
          <w:sz w:val="24"/>
          <w:szCs w:val="24"/>
        </w:rPr>
      </w:pPr>
      <w:r w:rsidRPr="00061000">
        <w:rPr>
          <w:sz w:val="24"/>
          <w:szCs w:val="24"/>
        </w:rPr>
        <w:lastRenderedPageBreak/>
        <w:t xml:space="preserve">Chairman Hatch, Ranking Member Wyden and </w:t>
      </w:r>
      <w:r w:rsidR="00B70152" w:rsidRPr="00061000">
        <w:rPr>
          <w:sz w:val="24"/>
          <w:szCs w:val="24"/>
        </w:rPr>
        <w:t xml:space="preserve">other members of </w:t>
      </w:r>
      <w:r w:rsidRPr="00061000">
        <w:rPr>
          <w:sz w:val="24"/>
          <w:szCs w:val="24"/>
        </w:rPr>
        <w:t xml:space="preserve">Finance Committee, thank you for this opportunity to share work of the Rural Policy Research Institute (RUPRI) </w:t>
      </w:r>
      <w:r w:rsidR="00061121">
        <w:rPr>
          <w:sz w:val="24"/>
          <w:szCs w:val="24"/>
        </w:rPr>
        <w:t xml:space="preserve">Center for Rural Health Policy Analysis </w:t>
      </w:r>
      <w:r w:rsidRPr="00061000">
        <w:rPr>
          <w:sz w:val="24"/>
          <w:szCs w:val="24"/>
        </w:rPr>
        <w:t xml:space="preserve">and </w:t>
      </w:r>
      <w:r w:rsidR="00061121">
        <w:rPr>
          <w:sz w:val="24"/>
          <w:szCs w:val="24"/>
        </w:rPr>
        <w:t>the RUPRI Health Panel</w:t>
      </w:r>
      <w:r w:rsidRPr="00061000">
        <w:rPr>
          <w:sz w:val="24"/>
          <w:szCs w:val="24"/>
        </w:rPr>
        <w:t>,</w:t>
      </w:r>
      <w:r w:rsidR="00BF7360">
        <w:rPr>
          <w:sz w:val="24"/>
          <w:szCs w:val="24"/>
        </w:rPr>
        <w:t xml:space="preserve"> as well as other published research and reports.</w:t>
      </w:r>
      <w:r w:rsidRPr="00061000">
        <w:rPr>
          <w:sz w:val="24"/>
          <w:szCs w:val="24"/>
        </w:rPr>
        <w:t xml:space="preserve"> I </w:t>
      </w:r>
      <w:r w:rsidR="00BF7360">
        <w:rPr>
          <w:sz w:val="24"/>
          <w:szCs w:val="24"/>
        </w:rPr>
        <w:t xml:space="preserve">will </w:t>
      </w:r>
      <w:r w:rsidRPr="00061000">
        <w:rPr>
          <w:sz w:val="24"/>
          <w:szCs w:val="24"/>
        </w:rPr>
        <w:t>focus on three areas of particular relevance, rural experience with Medicare’s accountable care organizations, or ACOs; payment policies driving changes in delivery systems; and use of telehealth.</w:t>
      </w:r>
      <w:r w:rsidR="00061121">
        <w:rPr>
          <w:sz w:val="24"/>
          <w:szCs w:val="24"/>
        </w:rPr>
        <w:t xml:space="preserve"> I will conclude with general observations about future directions in rural health policy</w:t>
      </w:r>
    </w:p>
    <w:p w:rsidR="00061121" w:rsidRDefault="00061121" w:rsidP="00061121">
      <w:pPr>
        <w:spacing w:after="0" w:line="276" w:lineRule="auto"/>
        <w:rPr>
          <w:sz w:val="24"/>
          <w:szCs w:val="24"/>
        </w:rPr>
      </w:pPr>
    </w:p>
    <w:p w:rsidR="00061121" w:rsidRDefault="00061121" w:rsidP="00061121">
      <w:pPr>
        <w:spacing w:after="0" w:line="276" w:lineRule="auto"/>
        <w:rPr>
          <w:sz w:val="24"/>
          <w:szCs w:val="24"/>
        </w:rPr>
      </w:pPr>
      <w:r>
        <w:rPr>
          <w:b/>
          <w:sz w:val="24"/>
          <w:szCs w:val="24"/>
        </w:rPr>
        <w:t>Background</w:t>
      </w:r>
    </w:p>
    <w:p w:rsidR="00061121" w:rsidRDefault="00061121" w:rsidP="00061121">
      <w:pPr>
        <w:spacing w:after="0" w:line="276" w:lineRule="auto"/>
        <w:rPr>
          <w:sz w:val="24"/>
          <w:szCs w:val="24"/>
        </w:rPr>
      </w:pPr>
    </w:p>
    <w:p w:rsidR="00061121" w:rsidRPr="00061121" w:rsidRDefault="00061121" w:rsidP="00061121">
      <w:pPr>
        <w:spacing w:after="0" w:line="276" w:lineRule="auto"/>
        <w:ind w:firstLine="720"/>
        <w:rPr>
          <w:sz w:val="24"/>
          <w:szCs w:val="24"/>
        </w:rPr>
      </w:pPr>
      <w:r w:rsidRPr="00061121">
        <w:rPr>
          <w:sz w:val="24"/>
          <w:szCs w:val="24"/>
        </w:rPr>
        <w:t>While some things have changed in the 30 years I have been conducting rural health research and policy analysis, the underlying rural dynamics remain much the same. But we have some new tools, both in health care delivery and through public policy, to help us continue our quest to establish and sustain a high performance rural health system.</w:t>
      </w:r>
    </w:p>
    <w:p w:rsidR="00061121" w:rsidRDefault="00061121" w:rsidP="00061121">
      <w:pPr>
        <w:spacing w:after="0" w:line="276" w:lineRule="auto"/>
        <w:rPr>
          <w:sz w:val="24"/>
          <w:szCs w:val="24"/>
        </w:rPr>
      </w:pPr>
    </w:p>
    <w:p w:rsidR="00061121" w:rsidRDefault="00061121" w:rsidP="00061121">
      <w:pPr>
        <w:spacing w:line="276" w:lineRule="auto"/>
        <w:ind w:firstLine="720"/>
        <w:rPr>
          <w:sz w:val="24"/>
          <w:szCs w:val="24"/>
        </w:rPr>
      </w:pPr>
      <w:r w:rsidRPr="00061121">
        <w:rPr>
          <w:sz w:val="24"/>
          <w:szCs w:val="24"/>
        </w:rPr>
        <w:t>I have come to appreciate the nexus of what we in the research community contribute to your efforts, and the concerns/needs of our colleagues delivering healthcare services. As President of the National Rural Health Association in 1996 I represented the interests of rural providers in policy discussions. One of my funded projects in the late 1990s was to work with rural providers in Nebraska and Iowa to develop the template for a provider-sponsored Medicare+Choice plan. Much of my research involves site visits to rural health care organizations to understand the implications of Medicare and other policies on what they are able to do in their communities.</w:t>
      </w:r>
      <w:r w:rsidRPr="00061121">
        <w:rPr>
          <w:sz w:val="24"/>
          <w:szCs w:val="24"/>
        </w:rPr>
        <w:tab/>
      </w:r>
    </w:p>
    <w:p w:rsidR="00061121" w:rsidRPr="00061121" w:rsidRDefault="00061121" w:rsidP="00061121">
      <w:pPr>
        <w:spacing w:line="276" w:lineRule="auto"/>
        <w:ind w:firstLine="720"/>
        <w:rPr>
          <w:sz w:val="24"/>
          <w:szCs w:val="24"/>
        </w:rPr>
      </w:pPr>
      <w:r w:rsidRPr="00061121">
        <w:rPr>
          <w:sz w:val="24"/>
          <w:szCs w:val="24"/>
        </w:rPr>
        <w:t xml:space="preserve">My personal engagement and that of the RUPRI Center, the RUPRI Health Panel, the Rural Telehealth Research Center (based in Iowa), and collaborations with others covers a host specific topics of interest to this Committee. They include Medicare Advantage, rural ACOs, access to rural pharmacy services, rural implications of changes in health care delivery and organization, delivery system reform initiatives in Medicare and Medicaid payment, the evolution of the marketplace in health insurance coverage, and the  role of telehealth. </w:t>
      </w:r>
    </w:p>
    <w:p w:rsidR="00061000" w:rsidRDefault="00061000" w:rsidP="00061000">
      <w:pPr>
        <w:spacing w:after="0" w:line="276" w:lineRule="auto"/>
        <w:rPr>
          <w:sz w:val="24"/>
          <w:szCs w:val="24"/>
        </w:rPr>
      </w:pPr>
    </w:p>
    <w:p w:rsidR="00BF7360" w:rsidRDefault="00BF7360" w:rsidP="00061000">
      <w:pPr>
        <w:spacing w:after="0" w:line="276" w:lineRule="auto"/>
        <w:rPr>
          <w:sz w:val="24"/>
          <w:szCs w:val="24"/>
        </w:rPr>
      </w:pPr>
      <w:r>
        <w:rPr>
          <w:b/>
          <w:sz w:val="24"/>
          <w:szCs w:val="24"/>
        </w:rPr>
        <w:t>Medicare ACOs (Shared Savings Plans and demonstrations)</w:t>
      </w:r>
    </w:p>
    <w:p w:rsidR="00BF7360" w:rsidRPr="00BF7360" w:rsidRDefault="00BF7360" w:rsidP="00061000">
      <w:pPr>
        <w:spacing w:after="0" w:line="276" w:lineRule="auto"/>
        <w:rPr>
          <w:sz w:val="24"/>
          <w:szCs w:val="24"/>
        </w:rPr>
      </w:pPr>
    </w:p>
    <w:p w:rsidR="00AD33AC" w:rsidRPr="00061000" w:rsidRDefault="00B70152" w:rsidP="00E9522B">
      <w:pPr>
        <w:spacing w:after="0" w:line="276" w:lineRule="auto"/>
        <w:ind w:firstLine="440"/>
        <w:rPr>
          <w:sz w:val="24"/>
          <w:szCs w:val="24"/>
        </w:rPr>
      </w:pPr>
      <w:r w:rsidRPr="00061000">
        <w:rPr>
          <w:sz w:val="24"/>
          <w:szCs w:val="24"/>
        </w:rPr>
        <w:t>R</w:t>
      </w:r>
      <w:r w:rsidR="00AD33AC" w:rsidRPr="00061000">
        <w:rPr>
          <w:sz w:val="24"/>
          <w:szCs w:val="24"/>
        </w:rPr>
        <w:t xml:space="preserve">ural presence in ACO activities has grown dramatically, </w:t>
      </w:r>
      <w:r w:rsidRPr="00061000">
        <w:rPr>
          <w:sz w:val="24"/>
          <w:szCs w:val="24"/>
        </w:rPr>
        <w:t xml:space="preserve">as of the end of 2016 in 22 percent </w:t>
      </w:r>
      <w:r w:rsidR="00061121">
        <w:rPr>
          <w:sz w:val="24"/>
          <w:szCs w:val="24"/>
        </w:rPr>
        <w:t xml:space="preserve">of </w:t>
      </w:r>
      <w:r w:rsidRPr="00061000">
        <w:rPr>
          <w:sz w:val="24"/>
          <w:szCs w:val="24"/>
        </w:rPr>
        <w:t>rural</w:t>
      </w:r>
      <w:r w:rsidR="00AD33AC" w:rsidRPr="00061000">
        <w:rPr>
          <w:sz w:val="24"/>
          <w:szCs w:val="24"/>
        </w:rPr>
        <w:t xml:space="preserve"> </w:t>
      </w:r>
      <w:r w:rsidR="00061121">
        <w:rPr>
          <w:sz w:val="24"/>
          <w:szCs w:val="24"/>
        </w:rPr>
        <w:t xml:space="preserve">counties </w:t>
      </w:r>
      <w:r w:rsidR="00AD33AC" w:rsidRPr="00061000">
        <w:rPr>
          <w:sz w:val="24"/>
          <w:szCs w:val="24"/>
        </w:rPr>
        <w:t xml:space="preserve">at least 30 percent of </w:t>
      </w:r>
      <w:r w:rsidRPr="00061000">
        <w:rPr>
          <w:sz w:val="24"/>
          <w:szCs w:val="24"/>
        </w:rPr>
        <w:t xml:space="preserve">Medicare </w:t>
      </w:r>
      <w:r w:rsidR="00AD33AC" w:rsidRPr="00061000">
        <w:rPr>
          <w:sz w:val="24"/>
          <w:szCs w:val="24"/>
        </w:rPr>
        <w:t xml:space="preserve">beneficiaries </w:t>
      </w:r>
      <w:r w:rsidRPr="00061000">
        <w:rPr>
          <w:sz w:val="24"/>
          <w:szCs w:val="24"/>
        </w:rPr>
        <w:t xml:space="preserve">were </w:t>
      </w:r>
      <w:r w:rsidR="00AD33AC" w:rsidRPr="00061000">
        <w:rPr>
          <w:sz w:val="24"/>
          <w:szCs w:val="24"/>
        </w:rPr>
        <w:t>attributed to ACOs</w:t>
      </w:r>
      <w:r w:rsidRPr="00061000">
        <w:rPr>
          <w:sz w:val="24"/>
          <w:szCs w:val="24"/>
        </w:rPr>
        <w:t xml:space="preserve">. </w:t>
      </w:r>
      <w:r w:rsidR="00412FDA">
        <w:rPr>
          <w:sz w:val="24"/>
          <w:szCs w:val="24"/>
        </w:rPr>
        <w:t>Also by the end of 2016 there were nearly 40 percent of rural (non-metropolitan) counties with at least 3 ACOs with attributed beneficiaries, up from 17 percent in 2014.</w:t>
      </w:r>
      <w:r w:rsidR="00412FDA">
        <w:rPr>
          <w:rStyle w:val="EndnoteReference"/>
          <w:sz w:val="24"/>
          <w:szCs w:val="24"/>
        </w:rPr>
        <w:endnoteReference w:id="1"/>
      </w:r>
      <w:r w:rsidR="00412FDA">
        <w:rPr>
          <w:sz w:val="24"/>
          <w:szCs w:val="24"/>
        </w:rPr>
        <w:t xml:space="preserve"> </w:t>
      </w:r>
      <w:r w:rsidRPr="00061000">
        <w:rPr>
          <w:sz w:val="24"/>
          <w:szCs w:val="24"/>
        </w:rPr>
        <w:t>A</w:t>
      </w:r>
      <w:r w:rsidR="00BF7360">
        <w:rPr>
          <w:sz w:val="24"/>
          <w:szCs w:val="24"/>
        </w:rPr>
        <w:t>s</w:t>
      </w:r>
      <w:r w:rsidRPr="00061000">
        <w:rPr>
          <w:sz w:val="24"/>
          <w:szCs w:val="24"/>
        </w:rPr>
        <w:t xml:space="preserve"> of the end of 2017 </w:t>
      </w:r>
      <w:r w:rsidR="00B67B0C" w:rsidRPr="00061000">
        <w:rPr>
          <w:sz w:val="24"/>
          <w:szCs w:val="24"/>
        </w:rPr>
        <w:t xml:space="preserve">at least one Medicare ACO </w:t>
      </w:r>
      <w:r w:rsidRPr="00061000">
        <w:rPr>
          <w:sz w:val="24"/>
          <w:szCs w:val="24"/>
        </w:rPr>
        <w:t xml:space="preserve">was </w:t>
      </w:r>
      <w:r w:rsidR="00B67B0C" w:rsidRPr="00061000">
        <w:rPr>
          <w:sz w:val="24"/>
          <w:szCs w:val="24"/>
        </w:rPr>
        <w:t xml:space="preserve">operating in 60 percent of </w:t>
      </w:r>
      <w:r w:rsidRPr="00061000">
        <w:rPr>
          <w:sz w:val="24"/>
          <w:szCs w:val="24"/>
        </w:rPr>
        <w:t>rural</w:t>
      </w:r>
      <w:r w:rsidR="00B67B0C" w:rsidRPr="00061000">
        <w:rPr>
          <w:sz w:val="24"/>
          <w:szCs w:val="24"/>
        </w:rPr>
        <w:t xml:space="preserve"> counties.</w:t>
      </w:r>
      <w:r w:rsidR="00412FDA">
        <w:rPr>
          <w:rStyle w:val="EndnoteReference"/>
          <w:sz w:val="24"/>
          <w:szCs w:val="24"/>
        </w:rPr>
        <w:endnoteReference w:id="2"/>
      </w:r>
      <w:r w:rsidR="00B67B0C" w:rsidRPr="00061000">
        <w:rPr>
          <w:sz w:val="24"/>
          <w:szCs w:val="24"/>
        </w:rPr>
        <w:t xml:space="preserve"> </w:t>
      </w:r>
      <w:r w:rsidR="00AD33AC" w:rsidRPr="00061000">
        <w:rPr>
          <w:sz w:val="24"/>
          <w:szCs w:val="24"/>
        </w:rPr>
        <w:t xml:space="preserve">Maps </w:t>
      </w:r>
      <w:r w:rsidR="00412FDA">
        <w:rPr>
          <w:sz w:val="24"/>
          <w:szCs w:val="24"/>
        </w:rPr>
        <w:t>showing the spread of rural ACOs based on attributed lives for each year 2014-2016, and a map showing presence of ACOs based on where there are participating providers</w:t>
      </w:r>
      <w:r w:rsidR="00061121">
        <w:rPr>
          <w:sz w:val="24"/>
          <w:szCs w:val="24"/>
        </w:rPr>
        <w:t>,</w:t>
      </w:r>
      <w:r w:rsidR="00023B47">
        <w:rPr>
          <w:sz w:val="24"/>
          <w:szCs w:val="24"/>
        </w:rPr>
        <w:t xml:space="preserve"> are in </w:t>
      </w:r>
      <w:r w:rsidR="00061121">
        <w:rPr>
          <w:sz w:val="24"/>
          <w:szCs w:val="24"/>
        </w:rPr>
        <w:t>an a</w:t>
      </w:r>
      <w:r w:rsidR="00023B47">
        <w:rPr>
          <w:sz w:val="24"/>
          <w:szCs w:val="24"/>
        </w:rPr>
        <w:t>ttachment.</w:t>
      </w:r>
      <w:r w:rsidR="00412FDA">
        <w:rPr>
          <w:sz w:val="24"/>
          <w:szCs w:val="24"/>
        </w:rPr>
        <w:t xml:space="preserve"> </w:t>
      </w:r>
      <w:r w:rsidR="00AD33AC" w:rsidRPr="00061000">
        <w:rPr>
          <w:sz w:val="24"/>
          <w:szCs w:val="24"/>
        </w:rPr>
        <w:t>Factors accounting for the increased rural participation include:</w:t>
      </w:r>
    </w:p>
    <w:p w:rsidR="00AD33AC" w:rsidRPr="00061000" w:rsidRDefault="00AD33AC" w:rsidP="00061000">
      <w:pPr>
        <w:pStyle w:val="ListParagraph"/>
        <w:numPr>
          <w:ilvl w:val="0"/>
          <w:numId w:val="1"/>
        </w:numPr>
        <w:spacing w:after="0" w:line="276" w:lineRule="auto"/>
        <w:rPr>
          <w:sz w:val="24"/>
          <w:szCs w:val="24"/>
        </w:rPr>
      </w:pPr>
      <w:r w:rsidRPr="00061000">
        <w:rPr>
          <w:sz w:val="24"/>
          <w:szCs w:val="24"/>
        </w:rPr>
        <w:t>demonstration programs making advanced payments available</w:t>
      </w:r>
      <w:r w:rsidR="00AE607E">
        <w:rPr>
          <w:sz w:val="24"/>
          <w:szCs w:val="24"/>
        </w:rPr>
        <w:t xml:space="preserve"> to invest in information systems and other start-up costs</w:t>
      </w:r>
      <w:r w:rsidR="00B70152" w:rsidRPr="00061000">
        <w:rPr>
          <w:sz w:val="24"/>
          <w:szCs w:val="24"/>
        </w:rPr>
        <w:t>,</w:t>
      </w:r>
      <w:r w:rsidRPr="00061000">
        <w:rPr>
          <w:sz w:val="24"/>
          <w:szCs w:val="24"/>
        </w:rPr>
        <w:t xml:space="preserve"> </w:t>
      </w:r>
    </w:p>
    <w:p w:rsidR="00AD33AC" w:rsidRPr="00061000" w:rsidRDefault="00AD33AC" w:rsidP="00061000">
      <w:pPr>
        <w:pStyle w:val="ListParagraph"/>
        <w:numPr>
          <w:ilvl w:val="0"/>
          <w:numId w:val="1"/>
        </w:numPr>
        <w:spacing w:after="0" w:line="276" w:lineRule="auto"/>
        <w:rPr>
          <w:sz w:val="24"/>
          <w:szCs w:val="24"/>
        </w:rPr>
      </w:pPr>
      <w:r w:rsidRPr="00061000">
        <w:rPr>
          <w:sz w:val="24"/>
          <w:szCs w:val="24"/>
        </w:rPr>
        <w:t>national firms supporting multiple ACOs</w:t>
      </w:r>
      <w:r w:rsidR="00AE607E">
        <w:rPr>
          <w:sz w:val="24"/>
          <w:szCs w:val="24"/>
        </w:rPr>
        <w:t xml:space="preserve"> (aggregators that centralize functions such as data analytics)</w:t>
      </w:r>
      <w:r w:rsidRPr="00061000">
        <w:rPr>
          <w:sz w:val="24"/>
          <w:szCs w:val="24"/>
        </w:rPr>
        <w:t xml:space="preserve">, </w:t>
      </w:r>
    </w:p>
    <w:p w:rsidR="00B70152" w:rsidRPr="00061000" w:rsidRDefault="00AD33AC" w:rsidP="00061000">
      <w:pPr>
        <w:pStyle w:val="ListParagraph"/>
        <w:numPr>
          <w:ilvl w:val="0"/>
          <w:numId w:val="1"/>
        </w:numPr>
        <w:spacing w:after="0" w:line="276" w:lineRule="auto"/>
        <w:rPr>
          <w:sz w:val="24"/>
          <w:szCs w:val="24"/>
        </w:rPr>
      </w:pPr>
      <w:r w:rsidRPr="00061000">
        <w:rPr>
          <w:sz w:val="24"/>
          <w:szCs w:val="24"/>
        </w:rPr>
        <w:t>rural health care organizations already engaged in care management and perhaps even performance based</w:t>
      </w:r>
      <w:r w:rsidR="00AE607E">
        <w:rPr>
          <w:sz w:val="24"/>
          <w:szCs w:val="24"/>
        </w:rPr>
        <w:t xml:space="preserve"> contracting</w:t>
      </w:r>
      <w:r w:rsidR="00B70152" w:rsidRPr="00061000">
        <w:rPr>
          <w:sz w:val="24"/>
          <w:szCs w:val="24"/>
        </w:rPr>
        <w:t>,</w:t>
      </w:r>
      <w:r w:rsidRPr="00061000">
        <w:rPr>
          <w:sz w:val="24"/>
          <w:szCs w:val="24"/>
        </w:rPr>
        <w:t xml:space="preserve"> </w:t>
      </w:r>
    </w:p>
    <w:p w:rsidR="00F90E2B" w:rsidRPr="00061000" w:rsidRDefault="00AD33AC" w:rsidP="00061000">
      <w:pPr>
        <w:pStyle w:val="ListParagraph"/>
        <w:numPr>
          <w:ilvl w:val="0"/>
          <w:numId w:val="1"/>
        </w:numPr>
        <w:spacing w:after="0" w:line="276" w:lineRule="auto"/>
        <w:rPr>
          <w:sz w:val="24"/>
          <w:szCs w:val="24"/>
        </w:rPr>
      </w:pPr>
      <w:r w:rsidRPr="00061000">
        <w:rPr>
          <w:sz w:val="24"/>
          <w:szCs w:val="24"/>
        </w:rPr>
        <w:t xml:space="preserve">network development among rural </w:t>
      </w:r>
      <w:r w:rsidR="00AE607E">
        <w:rPr>
          <w:sz w:val="24"/>
          <w:szCs w:val="24"/>
        </w:rPr>
        <w:t>health care organizations (</w:t>
      </w:r>
      <w:r w:rsidRPr="00061000">
        <w:rPr>
          <w:sz w:val="24"/>
          <w:szCs w:val="24"/>
        </w:rPr>
        <w:t>HCOs</w:t>
      </w:r>
      <w:r w:rsidR="00AE607E">
        <w:rPr>
          <w:sz w:val="24"/>
          <w:szCs w:val="24"/>
        </w:rPr>
        <w:t>)</w:t>
      </w:r>
      <w:r w:rsidRPr="00061000">
        <w:rPr>
          <w:sz w:val="24"/>
          <w:szCs w:val="24"/>
        </w:rPr>
        <w:t xml:space="preserve">, and </w:t>
      </w:r>
    </w:p>
    <w:p w:rsidR="00AD33AC" w:rsidRPr="00061000" w:rsidRDefault="0062111D" w:rsidP="00061000">
      <w:pPr>
        <w:pStyle w:val="ListParagraph"/>
        <w:numPr>
          <w:ilvl w:val="0"/>
          <w:numId w:val="1"/>
        </w:numPr>
        <w:spacing w:after="0" w:line="276" w:lineRule="auto"/>
        <w:rPr>
          <w:sz w:val="24"/>
          <w:szCs w:val="24"/>
        </w:rPr>
      </w:pPr>
      <w:r w:rsidRPr="00061000">
        <w:rPr>
          <w:sz w:val="24"/>
          <w:szCs w:val="24"/>
        </w:rPr>
        <w:t>spread of urban-based systems into rural regions.</w:t>
      </w:r>
    </w:p>
    <w:p w:rsidR="00AE607E" w:rsidRDefault="00AE607E" w:rsidP="00AE607E">
      <w:pPr>
        <w:spacing w:after="0" w:line="276" w:lineRule="auto"/>
        <w:rPr>
          <w:sz w:val="24"/>
          <w:szCs w:val="24"/>
        </w:rPr>
      </w:pPr>
    </w:p>
    <w:p w:rsidR="007C243C" w:rsidRDefault="00AE607E" w:rsidP="00E9522B">
      <w:pPr>
        <w:spacing w:after="0" w:line="276" w:lineRule="auto"/>
        <w:ind w:firstLine="440"/>
        <w:rPr>
          <w:sz w:val="24"/>
          <w:szCs w:val="24"/>
        </w:rPr>
      </w:pPr>
      <w:r>
        <w:rPr>
          <w:sz w:val="24"/>
          <w:szCs w:val="24"/>
        </w:rPr>
        <w:t xml:space="preserve">What have we learned from the early adopters of the ACO model in rural areas? We know that experience matters, both prior experience in network development and care management, and experience gained as a result of functioning as an ACO. </w:t>
      </w:r>
      <w:r w:rsidR="00090345" w:rsidRPr="00061000">
        <w:rPr>
          <w:sz w:val="24"/>
          <w:szCs w:val="24"/>
        </w:rPr>
        <w:t>Approaches to developing ACOs vary considerably, from a single regional system like the Billings Clinic and affiliates in Montana, to rural networks like the Illinois Critical Access Hospital Network, to affiliations of geographically disperse HCOs under a national organization such as Caravan</w:t>
      </w:r>
      <w:r w:rsidR="007C243C">
        <w:rPr>
          <w:sz w:val="24"/>
          <w:szCs w:val="24"/>
        </w:rPr>
        <w:t>H</w:t>
      </w:r>
      <w:r w:rsidR="00517A2A" w:rsidRPr="00061000">
        <w:rPr>
          <w:sz w:val="24"/>
          <w:szCs w:val="24"/>
        </w:rPr>
        <w:t>ealth</w:t>
      </w:r>
      <w:r>
        <w:rPr>
          <w:sz w:val="24"/>
          <w:szCs w:val="24"/>
        </w:rPr>
        <w:t>, to spread of urban-based ACOs</w:t>
      </w:r>
      <w:r w:rsidR="00517A2A" w:rsidRPr="00061000">
        <w:rPr>
          <w:sz w:val="24"/>
          <w:szCs w:val="24"/>
        </w:rPr>
        <w:t>.</w:t>
      </w:r>
      <w:r>
        <w:rPr>
          <w:sz w:val="24"/>
          <w:szCs w:val="24"/>
        </w:rPr>
        <w:t xml:space="preserve"> We also know that there is not a “typical ACO model,” that in rural areas in particular we are seeing different strategies for building aggregations of HCOs to reach the critical mass in attributed beneficiaries necessary to generate savings from affecting the care-seeking behavior of historically high users of expensive services.</w:t>
      </w:r>
    </w:p>
    <w:p w:rsidR="00023B47" w:rsidRDefault="00023B47" w:rsidP="00023B47"/>
    <w:p w:rsidR="0001200B" w:rsidRDefault="007C243C" w:rsidP="00061121">
      <w:pPr>
        <w:spacing w:after="0" w:line="276" w:lineRule="auto"/>
        <w:ind w:firstLine="440"/>
      </w:pPr>
      <w:r>
        <w:rPr>
          <w:sz w:val="24"/>
          <w:szCs w:val="24"/>
        </w:rPr>
        <w:t xml:space="preserve">Tables 1-3 </w:t>
      </w:r>
      <w:r w:rsidR="00E91317">
        <w:rPr>
          <w:sz w:val="24"/>
          <w:szCs w:val="24"/>
        </w:rPr>
        <w:t xml:space="preserve">display </w:t>
      </w:r>
      <w:r>
        <w:rPr>
          <w:sz w:val="24"/>
          <w:szCs w:val="24"/>
        </w:rPr>
        <w:t xml:space="preserve">characteristics of 525 Medicare Shared Savings Plans (MSSP) and </w:t>
      </w:r>
      <w:r w:rsidR="00E91317">
        <w:rPr>
          <w:sz w:val="24"/>
          <w:szCs w:val="24"/>
        </w:rPr>
        <w:t>Next-Gen ACOs, based on the RUPRI data about where there are providers participating in those ACOs. We classify ACOs based on the counties in which they have providers, so “100 percent nonmetro” means that all counties of the ACO with participating providers are designated nonmetropolitan; “70% - 99%” is again based on the percent of all counties in which the ACO has participating providers.</w:t>
      </w:r>
      <w:r w:rsidR="00575CA6">
        <w:rPr>
          <w:sz w:val="24"/>
          <w:szCs w:val="24"/>
        </w:rPr>
        <w:t xml:space="preserve"> As we should expect, a majority of ACOs are in metropolitan or mostly metropolitan areas. However, as of 2017</w:t>
      </w:r>
      <w:r w:rsidR="00A67F07">
        <w:rPr>
          <w:sz w:val="24"/>
          <w:szCs w:val="24"/>
        </w:rPr>
        <w:t xml:space="preserve"> </w:t>
      </w:r>
      <w:r w:rsidR="00575CA6">
        <w:rPr>
          <w:sz w:val="24"/>
          <w:szCs w:val="24"/>
        </w:rPr>
        <w:t>there were 53 ACOs operating exclusively or mostly in nonmetropolitan counties, and nearly all o</w:t>
      </w:r>
      <w:r w:rsidR="00A67F07">
        <w:rPr>
          <w:sz w:val="24"/>
          <w:szCs w:val="24"/>
        </w:rPr>
        <w:t>f</w:t>
      </w:r>
      <w:r w:rsidR="00575CA6">
        <w:rPr>
          <w:sz w:val="24"/>
          <w:szCs w:val="24"/>
        </w:rPr>
        <w:t xml:space="preserve"> th</w:t>
      </w:r>
      <w:r w:rsidR="00A67F07">
        <w:rPr>
          <w:sz w:val="24"/>
          <w:szCs w:val="24"/>
        </w:rPr>
        <w:t>e AIM ACOs, as intended, serve nonmetropolitan counties.</w:t>
      </w:r>
      <w:r w:rsidR="00E91317">
        <w:rPr>
          <w:sz w:val="24"/>
          <w:szCs w:val="24"/>
        </w:rPr>
        <w:t xml:space="preserve"> </w:t>
      </w:r>
      <w:r w:rsidR="00A67F07">
        <w:rPr>
          <w:sz w:val="24"/>
          <w:szCs w:val="24"/>
        </w:rPr>
        <w:t xml:space="preserve">Table 3 demonstrates the strong preference of rural-based ACOs for the Track 1 model, but nearly 14 percent of those in the categories of mostly nonmetropolitan and mixed are participating in Track 3 or Next Generation ACOs. Table 4 uses these same categories of ACOs on a nonmetropolitan – metropolitan scale to display other characteristics of interest. </w:t>
      </w:r>
      <w:r w:rsidR="001A2B0D">
        <w:rPr>
          <w:sz w:val="24"/>
          <w:szCs w:val="24"/>
        </w:rPr>
        <w:t xml:space="preserve">Notably, rural ACOs are more likely to be non-profit and less likely to be independent hospitals. We have much to learn about the interaction of ACO development and </w:t>
      </w:r>
    </w:p>
    <w:p w:rsidR="0001200B" w:rsidRDefault="0001200B" w:rsidP="0001200B">
      <w:pPr>
        <w:spacing w:after="0" w:line="276" w:lineRule="auto"/>
        <w:rPr>
          <w:sz w:val="24"/>
          <w:szCs w:val="24"/>
        </w:rPr>
      </w:pPr>
    </w:p>
    <w:p w:rsidR="002226F5" w:rsidRDefault="002226F5" w:rsidP="002226F5">
      <w:pPr>
        <w:spacing w:after="0" w:line="276" w:lineRule="auto"/>
        <w:rPr>
          <w:sz w:val="24"/>
          <w:szCs w:val="24"/>
        </w:rPr>
      </w:pPr>
      <w:r>
        <w:rPr>
          <w:sz w:val="24"/>
          <w:szCs w:val="24"/>
        </w:rPr>
        <w:t xml:space="preserve">sustainability of rural health infrastructure, an ongoing project of the RUPRI Center for Rural Health Policy Analysis.  </w:t>
      </w:r>
    </w:p>
    <w:p w:rsidR="00E9522B" w:rsidRDefault="00E9522B">
      <w:pPr>
        <w:rPr>
          <w:sz w:val="24"/>
          <w:szCs w:val="24"/>
        </w:rPr>
      </w:pPr>
      <w:r>
        <w:rPr>
          <w:sz w:val="24"/>
          <w:szCs w:val="24"/>
        </w:rPr>
        <w:tab/>
      </w:r>
    </w:p>
    <w:p w:rsidR="00E9522B" w:rsidRPr="00FC514A" w:rsidRDefault="00E9522B" w:rsidP="00E9522B">
      <w:pPr>
        <w:rPr>
          <w:b/>
        </w:rPr>
      </w:pPr>
      <w:r w:rsidRPr="00FC514A">
        <w:rPr>
          <w:b/>
        </w:rPr>
        <w:t xml:space="preserve">Table 1: Medicare ACOs by Metropolitan/Nonmetropolitan County Presence, as of January 2017 </w:t>
      </w:r>
    </w:p>
    <w:tbl>
      <w:tblPr>
        <w:tblStyle w:val="TableGrid"/>
        <w:tblW w:w="0" w:type="auto"/>
        <w:tblLook w:val="04A0" w:firstRow="1" w:lastRow="0" w:firstColumn="1" w:lastColumn="0" w:noHBand="0" w:noVBand="1"/>
      </w:tblPr>
      <w:tblGrid>
        <w:gridCol w:w="1885"/>
        <w:gridCol w:w="3060"/>
        <w:gridCol w:w="810"/>
        <w:gridCol w:w="1350"/>
      </w:tblGrid>
      <w:tr w:rsidR="00E9522B" w:rsidRPr="00FE2FEC" w:rsidTr="0001200B">
        <w:tc>
          <w:tcPr>
            <w:tcW w:w="1885" w:type="dxa"/>
            <w:tcBorders>
              <w:bottom w:val="double" w:sz="4" w:space="0" w:color="auto"/>
            </w:tcBorders>
          </w:tcPr>
          <w:p w:rsidR="00E9522B" w:rsidRPr="00FE2FEC" w:rsidRDefault="00E9522B" w:rsidP="0001200B">
            <w:pPr>
              <w:rPr>
                <w:b/>
              </w:rPr>
            </w:pPr>
            <w:r w:rsidRPr="00FE2FEC">
              <w:rPr>
                <w:b/>
              </w:rPr>
              <w:t xml:space="preserve">Metro/Nonmetro </w:t>
            </w:r>
          </w:p>
        </w:tc>
        <w:tc>
          <w:tcPr>
            <w:tcW w:w="3060" w:type="dxa"/>
            <w:tcBorders>
              <w:bottom w:val="double" w:sz="4" w:space="0" w:color="auto"/>
            </w:tcBorders>
          </w:tcPr>
          <w:p w:rsidR="00E9522B" w:rsidRPr="00FE2FEC" w:rsidRDefault="00E9522B" w:rsidP="0001200B">
            <w:pPr>
              <w:rPr>
                <w:b/>
              </w:rPr>
            </w:pPr>
            <w:r w:rsidRPr="00FE2FEC">
              <w:rPr>
                <w:b/>
              </w:rPr>
              <w:t xml:space="preserve">Description </w:t>
            </w:r>
          </w:p>
        </w:tc>
        <w:tc>
          <w:tcPr>
            <w:tcW w:w="810" w:type="dxa"/>
            <w:tcBorders>
              <w:bottom w:val="double" w:sz="4" w:space="0" w:color="auto"/>
            </w:tcBorders>
          </w:tcPr>
          <w:p w:rsidR="00E9522B" w:rsidRPr="00FE2FEC" w:rsidRDefault="00E9522B" w:rsidP="0001200B">
            <w:pPr>
              <w:rPr>
                <w:b/>
              </w:rPr>
            </w:pPr>
            <w:r w:rsidRPr="00FE2FEC">
              <w:rPr>
                <w:b/>
              </w:rPr>
              <w:t xml:space="preserve">Count </w:t>
            </w:r>
          </w:p>
        </w:tc>
        <w:tc>
          <w:tcPr>
            <w:tcW w:w="1350" w:type="dxa"/>
            <w:tcBorders>
              <w:bottom w:val="double" w:sz="4" w:space="0" w:color="auto"/>
            </w:tcBorders>
          </w:tcPr>
          <w:p w:rsidR="00E9522B" w:rsidRPr="00FE2FEC" w:rsidRDefault="00E9522B" w:rsidP="0001200B">
            <w:pPr>
              <w:rPr>
                <w:b/>
              </w:rPr>
            </w:pPr>
            <w:r w:rsidRPr="00FE2FEC">
              <w:rPr>
                <w:b/>
              </w:rPr>
              <w:t xml:space="preserve">Percentage </w:t>
            </w:r>
          </w:p>
        </w:tc>
      </w:tr>
      <w:tr w:rsidR="00E9522B" w:rsidRPr="00FE2FEC" w:rsidTr="0001200B">
        <w:tc>
          <w:tcPr>
            <w:tcW w:w="1885" w:type="dxa"/>
            <w:tcBorders>
              <w:top w:val="double" w:sz="4" w:space="0" w:color="auto"/>
            </w:tcBorders>
          </w:tcPr>
          <w:p w:rsidR="00E9522B" w:rsidRPr="00FE2FEC" w:rsidRDefault="00E9522B" w:rsidP="0001200B">
            <w:r w:rsidRPr="00FE2FEC">
              <w:t xml:space="preserve">Nonmetro </w:t>
            </w:r>
          </w:p>
        </w:tc>
        <w:tc>
          <w:tcPr>
            <w:tcW w:w="3060" w:type="dxa"/>
            <w:tcBorders>
              <w:top w:val="double" w:sz="4" w:space="0" w:color="auto"/>
            </w:tcBorders>
          </w:tcPr>
          <w:p w:rsidR="00E9522B" w:rsidRPr="00FE2FEC" w:rsidRDefault="00E9522B" w:rsidP="0001200B">
            <w:r w:rsidRPr="00FE2FEC">
              <w:t xml:space="preserve">100% nonmetro counties </w:t>
            </w:r>
          </w:p>
        </w:tc>
        <w:tc>
          <w:tcPr>
            <w:tcW w:w="810" w:type="dxa"/>
            <w:tcBorders>
              <w:top w:val="double" w:sz="4" w:space="0" w:color="auto"/>
            </w:tcBorders>
          </w:tcPr>
          <w:p w:rsidR="00E9522B" w:rsidRPr="00FE2FEC" w:rsidRDefault="00E9522B" w:rsidP="0001200B">
            <w:pPr>
              <w:jc w:val="right"/>
            </w:pPr>
            <w:r>
              <w:t>8</w:t>
            </w:r>
          </w:p>
        </w:tc>
        <w:tc>
          <w:tcPr>
            <w:tcW w:w="1350" w:type="dxa"/>
            <w:tcBorders>
              <w:top w:val="double" w:sz="4" w:space="0" w:color="auto"/>
            </w:tcBorders>
          </w:tcPr>
          <w:p w:rsidR="00E9522B" w:rsidRPr="00FE2FEC" w:rsidRDefault="00E9522B" w:rsidP="0001200B">
            <w:pPr>
              <w:jc w:val="right"/>
            </w:pPr>
            <w:r>
              <w:t>1.5%</w:t>
            </w:r>
          </w:p>
        </w:tc>
      </w:tr>
      <w:tr w:rsidR="00E9522B" w:rsidRPr="00FE2FEC" w:rsidTr="0001200B">
        <w:tc>
          <w:tcPr>
            <w:tcW w:w="1885" w:type="dxa"/>
          </w:tcPr>
          <w:p w:rsidR="00E9522B" w:rsidRPr="00FE2FEC" w:rsidRDefault="00E9522B" w:rsidP="0001200B">
            <w:r w:rsidRPr="00FE2FEC">
              <w:t xml:space="preserve">Mostly nonmetro </w:t>
            </w:r>
          </w:p>
        </w:tc>
        <w:tc>
          <w:tcPr>
            <w:tcW w:w="3060" w:type="dxa"/>
          </w:tcPr>
          <w:p w:rsidR="00E9522B" w:rsidRPr="00FE2FEC" w:rsidRDefault="00E9522B" w:rsidP="0001200B">
            <w:r w:rsidRPr="00FE2FEC">
              <w:t xml:space="preserve">70%-99% nonmetro counties </w:t>
            </w:r>
          </w:p>
        </w:tc>
        <w:tc>
          <w:tcPr>
            <w:tcW w:w="810" w:type="dxa"/>
          </w:tcPr>
          <w:p w:rsidR="00E9522B" w:rsidRPr="00FE2FEC" w:rsidRDefault="00E9522B" w:rsidP="0001200B">
            <w:pPr>
              <w:jc w:val="right"/>
            </w:pPr>
            <w:r>
              <w:t>45</w:t>
            </w:r>
          </w:p>
        </w:tc>
        <w:tc>
          <w:tcPr>
            <w:tcW w:w="1350" w:type="dxa"/>
          </w:tcPr>
          <w:p w:rsidR="00E9522B" w:rsidRPr="00FE2FEC" w:rsidRDefault="00E9522B" w:rsidP="0001200B">
            <w:pPr>
              <w:jc w:val="right"/>
            </w:pPr>
            <w:r>
              <w:t>8.7%</w:t>
            </w:r>
          </w:p>
        </w:tc>
      </w:tr>
      <w:tr w:rsidR="00E9522B" w:rsidRPr="00FE2FEC" w:rsidTr="0001200B">
        <w:tc>
          <w:tcPr>
            <w:tcW w:w="1885" w:type="dxa"/>
          </w:tcPr>
          <w:p w:rsidR="00E9522B" w:rsidRPr="00FE2FEC" w:rsidRDefault="00E9522B" w:rsidP="0001200B">
            <w:r w:rsidRPr="00FE2FEC">
              <w:t>Mixed</w:t>
            </w:r>
          </w:p>
        </w:tc>
        <w:tc>
          <w:tcPr>
            <w:tcW w:w="3060" w:type="dxa"/>
          </w:tcPr>
          <w:p w:rsidR="00E9522B" w:rsidRPr="00FE2FEC" w:rsidRDefault="00E9522B" w:rsidP="0001200B">
            <w:r w:rsidRPr="00FE2FEC">
              <w:t xml:space="preserve">30%-69% nonmetro counties </w:t>
            </w:r>
          </w:p>
        </w:tc>
        <w:tc>
          <w:tcPr>
            <w:tcW w:w="810" w:type="dxa"/>
          </w:tcPr>
          <w:p w:rsidR="00E9522B" w:rsidRPr="00FE2FEC" w:rsidRDefault="00E9522B" w:rsidP="0001200B">
            <w:pPr>
              <w:jc w:val="right"/>
            </w:pPr>
            <w:r>
              <w:t>144</w:t>
            </w:r>
          </w:p>
        </w:tc>
        <w:tc>
          <w:tcPr>
            <w:tcW w:w="1350" w:type="dxa"/>
          </w:tcPr>
          <w:p w:rsidR="00E9522B" w:rsidRPr="00FE2FEC" w:rsidRDefault="00E9522B" w:rsidP="0001200B">
            <w:pPr>
              <w:jc w:val="right"/>
            </w:pPr>
            <w:r>
              <w:t>27.7%</w:t>
            </w:r>
          </w:p>
        </w:tc>
      </w:tr>
      <w:tr w:rsidR="00E9522B" w:rsidRPr="00FE2FEC" w:rsidTr="0001200B">
        <w:tc>
          <w:tcPr>
            <w:tcW w:w="1885" w:type="dxa"/>
          </w:tcPr>
          <w:p w:rsidR="00E9522B" w:rsidRPr="00FE2FEC" w:rsidRDefault="00E9522B" w:rsidP="0001200B">
            <w:r w:rsidRPr="00FE2FEC">
              <w:t xml:space="preserve">Mostly metro </w:t>
            </w:r>
          </w:p>
        </w:tc>
        <w:tc>
          <w:tcPr>
            <w:tcW w:w="3060" w:type="dxa"/>
          </w:tcPr>
          <w:p w:rsidR="00E9522B" w:rsidRPr="00FE2FEC" w:rsidRDefault="00E9522B" w:rsidP="0001200B">
            <w:r w:rsidRPr="00FE2FEC">
              <w:t xml:space="preserve">1%-29% nonmetro counties </w:t>
            </w:r>
          </w:p>
        </w:tc>
        <w:tc>
          <w:tcPr>
            <w:tcW w:w="810" w:type="dxa"/>
          </w:tcPr>
          <w:p w:rsidR="00E9522B" w:rsidRPr="00FE2FEC" w:rsidRDefault="00E9522B" w:rsidP="0001200B">
            <w:pPr>
              <w:jc w:val="right"/>
            </w:pPr>
            <w:r>
              <w:t>112</w:t>
            </w:r>
          </w:p>
        </w:tc>
        <w:tc>
          <w:tcPr>
            <w:tcW w:w="1350" w:type="dxa"/>
          </w:tcPr>
          <w:p w:rsidR="00E9522B" w:rsidRPr="00FE2FEC" w:rsidRDefault="00E9522B" w:rsidP="0001200B">
            <w:pPr>
              <w:jc w:val="right"/>
            </w:pPr>
            <w:r>
              <w:t>21.5%</w:t>
            </w:r>
          </w:p>
        </w:tc>
      </w:tr>
      <w:tr w:rsidR="00E9522B" w:rsidRPr="00FE2FEC" w:rsidTr="0001200B">
        <w:tc>
          <w:tcPr>
            <w:tcW w:w="1885" w:type="dxa"/>
          </w:tcPr>
          <w:p w:rsidR="00E9522B" w:rsidRPr="00FE2FEC" w:rsidRDefault="00E9522B" w:rsidP="0001200B">
            <w:r w:rsidRPr="00FE2FEC">
              <w:t xml:space="preserve">Metro </w:t>
            </w:r>
          </w:p>
        </w:tc>
        <w:tc>
          <w:tcPr>
            <w:tcW w:w="3060" w:type="dxa"/>
          </w:tcPr>
          <w:p w:rsidR="00E9522B" w:rsidRPr="00FE2FEC" w:rsidRDefault="00E9522B" w:rsidP="0001200B">
            <w:r w:rsidRPr="00FE2FEC">
              <w:t xml:space="preserve">0% nonmetro counties </w:t>
            </w:r>
          </w:p>
        </w:tc>
        <w:tc>
          <w:tcPr>
            <w:tcW w:w="810" w:type="dxa"/>
          </w:tcPr>
          <w:p w:rsidR="00E9522B" w:rsidRPr="00FE2FEC" w:rsidRDefault="00E9522B" w:rsidP="0001200B">
            <w:pPr>
              <w:jc w:val="right"/>
            </w:pPr>
            <w:r>
              <w:t>211</w:t>
            </w:r>
          </w:p>
        </w:tc>
        <w:tc>
          <w:tcPr>
            <w:tcW w:w="1350" w:type="dxa"/>
          </w:tcPr>
          <w:p w:rsidR="00E9522B" w:rsidRPr="00FE2FEC" w:rsidRDefault="00E9522B" w:rsidP="0001200B">
            <w:pPr>
              <w:jc w:val="right"/>
            </w:pPr>
            <w:r>
              <w:t>40.6%</w:t>
            </w:r>
          </w:p>
        </w:tc>
      </w:tr>
    </w:tbl>
    <w:p w:rsidR="00E9522B" w:rsidRPr="00CF3D1F" w:rsidRDefault="00CF3D1F" w:rsidP="00E9522B">
      <w:pPr>
        <w:rPr>
          <w:sz w:val="20"/>
          <w:szCs w:val="20"/>
        </w:rPr>
      </w:pPr>
      <w:r w:rsidRPr="00CF3D1F">
        <w:rPr>
          <w:sz w:val="20"/>
          <w:szCs w:val="20"/>
        </w:rPr>
        <w:t>Source: RUPRI Center for Rural Health Policy Analysis database on ACO provider locations.</w:t>
      </w:r>
    </w:p>
    <w:p w:rsidR="00CF3D1F" w:rsidRDefault="00CF3D1F" w:rsidP="00E9522B"/>
    <w:p w:rsidR="00E9522B" w:rsidRPr="00FC514A" w:rsidRDefault="00E9522B" w:rsidP="00E9522B">
      <w:pPr>
        <w:rPr>
          <w:b/>
        </w:rPr>
      </w:pPr>
      <w:r w:rsidRPr="00FC514A">
        <w:rPr>
          <w:b/>
        </w:rPr>
        <w:t>Table 2: Medicare ACO Participation in AIM, by Metropolitan/Nonmetropolitan County Presence, as of January 2017</w:t>
      </w:r>
    </w:p>
    <w:tbl>
      <w:tblPr>
        <w:tblStyle w:val="TableGrid"/>
        <w:tblW w:w="0" w:type="auto"/>
        <w:tblLook w:val="04A0" w:firstRow="1" w:lastRow="0" w:firstColumn="1" w:lastColumn="0" w:noHBand="0" w:noVBand="1"/>
      </w:tblPr>
      <w:tblGrid>
        <w:gridCol w:w="1885"/>
        <w:gridCol w:w="3060"/>
        <w:gridCol w:w="810"/>
        <w:gridCol w:w="1350"/>
      </w:tblGrid>
      <w:tr w:rsidR="00E9522B" w:rsidRPr="00FE2FEC" w:rsidTr="0001200B">
        <w:tc>
          <w:tcPr>
            <w:tcW w:w="1885" w:type="dxa"/>
            <w:vMerge w:val="restart"/>
          </w:tcPr>
          <w:p w:rsidR="00E9522B" w:rsidRDefault="00E9522B" w:rsidP="0001200B">
            <w:pPr>
              <w:jc w:val="center"/>
              <w:rPr>
                <w:b/>
              </w:rPr>
            </w:pPr>
          </w:p>
          <w:p w:rsidR="00E9522B" w:rsidRPr="00FE2FEC" w:rsidRDefault="00E9522B" w:rsidP="0001200B">
            <w:pPr>
              <w:jc w:val="center"/>
              <w:rPr>
                <w:b/>
              </w:rPr>
            </w:pPr>
            <w:r w:rsidRPr="00FE2FEC">
              <w:rPr>
                <w:b/>
              </w:rPr>
              <w:t>Metro/Nonmetro</w:t>
            </w:r>
          </w:p>
        </w:tc>
        <w:tc>
          <w:tcPr>
            <w:tcW w:w="3060" w:type="dxa"/>
            <w:vMerge w:val="restart"/>
          </w:tcPr>
          <w:p w:rsidR="00E9522B" w:rsidRDefault="00E9522B" w:rsidP="0001200B">
            <w:pPr>
              <w:jc w:val="center"/>
              <w:rPr>
                <w:b/>
              </w:rPr>
            </w:pPr>
          </w:p>
          <w:p w:rsidR="00E9522B" w:rsidRPr="00FE2FEC" w:rsidRDefault="00E9522B" w:rsidP="0001200B">
            <w:pPr>
              <w:jc w:val="center"/>
              <w:rPr>
                <w:b/>
              </w:rPr>
            </w:pPr>
            <w:r w:rsidRPr="00FE2FEC">
              <w:rPr>
                <w:b/>
              </w:rPr>
              <w:t>Description</w:t>
            </w:r>
          </w:p>
        </w:tc>
        <w:tc>
          <w:tcPr>
            <w:tcW w:w="2160" w:type="dxa"/>
            <w:gridSpan w:val="2"/>
            <w:tcBorders>
              <w:bottom w:val="single" w:sz="4" w:space="0" w:color="auto"/>
            </w:tcBorders>
          </w:tcPr>
          <w:p w:rsidR="00E9522B" w:rsidRPr="00FE2FEC" w:rsidRDefault="00E9522B" w:rsidP="0001200B">
            <w:pPr>
              <w:jc w:val="center"/>
              <w:rPr>
                <w:b/>
              </w:rPr>
            </w:pPr>
            <w:r>
              <w:rPr>
                <w:b/>
              </w:rPr>
              <w:t>AIM Participaton</w:t>
            </w:r>
          </w:p>
        </w:tc>
      </w:tr>
      <w:tr w:rsidR="00E9522B" w:rsidRPr="00FE2FEC" w:rsidTr="0001200B">
        <w:tc>
          <w:tcPr>
            <w:tcW w:w="1885" w:type="dxa"/>
            <w:vMerge/>
            <w:tcBorders>
              <w:bottom w:val="double" w:sz="4" w:space="0" w:color="auto"/>
            </w:tcBorders>
          </w:tcPr>
          <w:p w:rsidR="00E9522B" w:rsidRPr="00FE2FEC" w:rsidRDefault="00E9522B" w:rsidP="0001200B">
            <w:pPr>
              <w:jc w:val="center"/>
              <w:rPr>
                <w:b/>
              </w:rPr>
            </w:pPr>
          </w:p>
        </w:tc>
        <w:tc>
          <w:tcPr>
            <w:tcW w:w="3060" w:type="dxa"/>
            <w:vMerge/>
            <w:tcBorders>
              <w:bottom w:val="double" w:sz="4" w:space="0" w:color="auto"/>
            </w:tcBorders>
          </w:tcPr>
          <w:p w:rsidR="00E9522B" w:rsidRPr="00FE2FEC" w:rsidRDefault="00E9522B" w:rsidP="0001200B">
            <w:pPr>
              <w:jc w:val="center"/>
              <w:rPr>
                <w:b/>
              </w:rPr>
            </w:pPr>
          </w:p>
        </w:tc>
        <w:tc>
          <w:tcPr>
            <w:tcW w:w="810" w:type="dxa"/>
            <w:tcBorders>
              <w:top w:val="single" w:sz="4" w:space="0" w:color="auto"/>
              <w:bottom w:val="double" w:sz="4" w:space="0" w:color="auto"/>
            </w:tcBorders>
          </w:tcPr>
          <w:p w:rsidR="00E9522B" w:rsidRPr="00FE2FEC" w:rsidRDefault="00E9522B" w:rsidP="0001200B">
            <w:pPr>
              <w:jc w:val="center"/>
              <w:rPr>
                <w:b/>
              </w:rPr>
            </w:pPr>
            <w:r w:rsidRPr="00FE2FEC">
              <w:rPr>
                <w:b/>
              </w:rPr>
              <w:t>Count</w:t>
            </w:r>
          </w:p>
        </w:tc>
        <w:tc>
          <w:tcPr>
            <w:tcW w:w="1350" w:type="dxa"/>
            <w:tcBorders>
              <w:top w:val="single" w:sz="4" w:space="0" w:color="auto"/>
              <w:bottom w:val="double" w:sz="4" w:space="0" w:color="auto"/>
            </w:tcBorders>
          </w:tcPr>
          <w:p w:rsidR="00E9522B" w:rsidRPr="00FE2FEC" w:rsidRDefault="00E9522B" w:rsidP="0001200B">
            <w:pPr>
              <w:jc w:val="center"/>
              <w:rPr>
                <w:b/>
              </w:rPr>
            </w:pPr>
            <w:r w:rsidRPr="00FE2FEC">
              <w:rPr>
                <w:b/>
              </w:rPr>
              <w:t>Percentage</w:t>
            </w:r>
          </w:p>
        </w:tc>
      </w:tr>
      <w:tr w:rsidR="00E9522B" w:rsidRPr="00FE2FEC" w:rsidTr="0001200B">
        <w:tc>
          <w:tcPr>
            <w:tcW w:w="1885" w:type="dxa"/>
            <w:tcBorders>
              <w:top w:val="double" w:sz="4" w:space="0" w:color="auto"/>
            </w:tcBorders>
          </w:tcPr>
          <w:p w:rsidR="00E9522B" w:rsidRPr="00FE2FEC" w:rsidRDefault="00E9522B" w:rsidP="0001200B">
            <w:r w:rsidRPr="00FE2FEC">
              <w:t xml:space="preserve">Nonmetro </w:t>
            </w:r>
          </w:p>
        </w:tc>
        <w:tc>
          <w:tcPr>
            <w:tcW w:w="3060" w:type="dxa"/>
            <w:tcBorders>
              <w:top w:val="double" w:sz="4" w:space="0" w:color="auto"/>
            </w:tcBorders>
          </w:tcPr>
          <w:p w:rsidR="00E9522B" w:rsidRPr="00FE2FEC" w:rsidRDefault="00E9522B" w:rsidP="0001200B">
            <w:r w:rsidRPr="00FE2FEC">
              <w:t xml:space="preserve">100% nonmetro counties </w:t>
            </w:r>
          </w:p>
        </w:tc>
        <w:tc>
          <w:tcPr>
            <w:tcW w:w="810" w:type="dxa"/>
            <w:tcBorders>
              <w:top w:val="double" w:sz="4" w:space="0" w:color="auto"/>
            </w:tcBorders>
          </w:tcPr>
          <w:p w:rsidR="00E9522B" w:rsidRPr="00FE2FEC" w:rsidRDefault="00E9522B" w:rsidP="0001200B">
            <w:pPr>
              <w:jc w:val="right"/>
            </w:pPr>
            <w:r>
              <w:t>6</w:t>
            </w:r>
          </w:p>
        </w:tc>
        <w:tc>
          <w:tcPr>
            <w:tcW w:w="1350" w:type="dxa"/>
            <w:tcBorders>
              <w:top w:val="double" w:sz="4" w:space="0" w:color="auto"/>
            </w:tcBorders>
          </w:tcPr>
          <w:p w:rsidR="00E9522B" w:rsidRPr="00FE2FEC" w:rsidRDefault="00E9522B" w:rsidP="0001200B">
            <w:pPr>
              <w:jc w:val="right"/>
            </w:pPr>
            <w:r>
              <w:t>75.0%</w:t>
            </w:r>
          </w:p>
        </w:tc>
      </w:tr>
      <w:tr w:rsidR="00E9522B" w:rsidRPr="00FE2FEC" w:rsidTr="0001200B">
        <w:tc>
          <w:tcPr>
            <w:tcW w:w="1885" w:type="dxa"/>
          </w:tcPr>
          <w:p w:rsidR="00E9522B" w:rsidRPr="00FE2FEC" w:rsidRDefault="00E9522B" w:rsidP="0001200B">
            <w:r w:rsidRPr="00FE2FEC">
              <w:t xml:space="preserve">Mostly nonmetro </w:t>
            </w:r>
          </w:p>
        </w:tc>
        <w:tc>
          <w:tcPr>
            <w:tcW w:w="3060" w:type="dxa"/>
          </w:tcPr>
          <w:p w:rsidR="00E9522B" w:rsidRPr="00FE2FEC" w:rsidRDefault="00E9522B" w:rsidP="0001200B">
            <w:r w:rsidRPr="00FE2FEC">
              <w:t xml:space="preserve">70%-99% nonmetro counties </w:t>
            </w:r>
          </w:p>
        </w:tc>
        <w:tc>
          <w:tcPr>
            <w:tcW w:w="810" w:type="dxa"/>
          </w:tcPr>
          <w:p w:rsidR="00E9522B" w:rsidRPr="00FE2FEC" w:rsidRDefault="00E9522B" w:rsidP="0001200B">
            <w:pPr>
              <w:jc w:val="right"/>
            </w:pPr>
            <w:r>
              <w:t>16</w:t>
            </w:r>
          </w:p>
        </w:tc>
        <w:tc>
          <w:tcPr>
            <w:tcW w:w="1350" w:type="dxa"/>
          </w:tcPr>
          <w:p w:rsidR="00E9522B" w:rsidRPr="00FE2FEC" w:rsidRDefault="00E9522B" w:rsidP="0001200B">
            <w:pPr>
              <w:jc w:val="right"/>
            </w:pPr>
            <w:r>
              <w:t>35.6%</w:t>
            </w:r>
          </w:p>
        </w:tc>
      </w:tr>
      <w:tr w:rsidR="00E9522B" w:rsidRPr="00FE2FEC" w:rsidTr="0001200B">
        <w:tc>
          <w:tcPr>
            <w:tcW w:w="1885" w:type="dxa"/>
          </w:tcPr>
          <w:p w:rsidR="00E9522B" w:rsidRPr="00FE2FEC" w:rsidRDefault="00E9522B" w:rsidP="0001200B">
            <w:r w:rsidRPr="00FE2FEC">
              <w:t>Mixed</w:t>
            </w:r>
          </w:p>
        </w:tc>
        <w:tc>
          <w:tcPr>
            <w:tcW w:w="3060" w:type="dxa"/>
          </w:tcPr>
          <w:p w:rsidR="00E9522B" w:rsidRPr="00FE2FEC" w:rsidRDefault="00E9522B" w:rsidP="0001200B">
            <w:r w:rsidRPr="00FE2FEC">
              <w:t xml:space="preserve">30%-69% nonmetro counties </w:t>
            </w:r>
          </w:p>
        </w:tc>
        <w:tc>
          <w:tcPr>
            <w:tcW w:w="810" w:type="dxa"/>
          </w:tcPr>
          <w:p w:rsidR="00E9522B" w:rsidRPr="00FE2FEC" w:rsidRDefault="00E9522B" w:rsidP="0001200B">
            <w:pPr>
              <w:jc w:val="right"/>
            </w:pPr>
            <w:r>
              <w:t>16</w:t>
            </w:r>
          </w:p>
        </w:tc>
        <w:tc>
          <w:tcPr>
            <w:tcW w:w="1350" w:type="dxa"/>
          </w:tcPr>
          <w:p w:rsidR="00E9522B" w:rsidRPr="00FE2FEC" w:rsidRDefault="00E9522B" w:rsidP="0001200B">
            <w:pPr>
              <w:jc w:val="right"/>
            </w:pPr>
            <w:r>
              <w:t>11.1%</w:t>
            </w:r>
          </w:p>
        </w:tc>
      </w:tr>
      <w:tr w:rsidR="00E9522B" w:rsidRPr="00FE2FEC" w:rsidTr="0001200B">
        <w:tc>
          <w:tcPr>
            <w:tcW w:w="1885" w:type="dxa"/>
          </w:tcPr>
          <w:p w:rsidR="00E9522B" w:rsidRPr="00FE2FEC" w:rsidRDefault="00E9522B" w:rsidP="0001200B">
            <w:r w:rsidRPr="00FE2FEC">
              <w:t xml:space="preserve">Mostly metro </w:t>
            </w:r>
          </w:p>
        </w:tc>
        <w:tc>
          <w:tcPr>
            <w:tcW w:w="3060" w:type="dxa"/>
          </w:tcPr>
          <w:p w:rsidR="00E9522B" w:rsidRPr="00FE2FEC" w:rsidRDefault="00E9522B" w:rsidP="0001200B">
            <w:r w:rsidRPr="00FE2FEC">
              <w:t xml:space="preserve">1%-29% nonmetro counties </w:t>
            </w:r>
          </w:p>
        </w:tc>
        <w:tc>
          <w:tcPr>
            <w:tcW w:w="810" w:type="dxa"/>
          </w:tcPr>
          <w:p w:rsidR="00E9522B" w:rsidRPr="00FE2FEC" w:rsidRDefault="00E9522B" w:rsidP="0001200B">
            <w:pPr>
              <w:jc w:val="right"/>
            </w:pPr>
            <w:r>
              <w:t>2</w:t>
            </w:r>
          </w:p>
        </w:tc>
        <w:tc>
          <w:tcPr>
            <w:tcW w:w="1350" w:type="dxa"/>
          </w:tcPr>
          <w:p w:rsidR="00E9522B" w:rsidRPr="00FE2FEC" w:rsidRDefault="00E9522B" w:rsidP="0001200B">
            <w:pPr>
              <w:jc w:val="right"/>
            </w:pPr>
            <w:r>
              <w:t>1.8%</w:t>
            </w:r>
          </w:p>
        </w:tc>
      </w:tr>
      <w:tr w:rsidR="00E9522B" w:rsidRPr="00FE2FEC" w:rsidTr="0001200B">
        <w:tc>
          <w:tcPr>
            <w:tcW w:w="1885" w:type="dxa"/>
          </w:tcPr>
          <w:p w:rsidR="00E9522B" w:rsidRPr="00FE2FEC" w:rsidRDefault="00E9522B" w:rsidP="0001200B">
            <w:r w:rsidRPr="00FE2FEC">
              <w:t xml:space="preserve">Metro </w:t>
            </w:r>
          </w:p>
        </w:tc>
        <w:tc>
          <w:tcPr>
            <w:tcW w:w="3060" w:type="dxa"/>
          </w:tcPr>
          <w:p w:rsidR="00E9522B" w:rsidRPr="00FE2FEC" w:rsidRDefault="00E9522B" w:rsidP="0001200B">
            <w:r w:rsidRPr="00FE2FEC">
              <w:t xml:space="preserve">0% nonmetro counties </w:t>
            </w:r>
          </w:p>
        </w:tc>
        <w:tc>
          <w:tcPr>
            <w:tcW w:w="810" w:type="dxa"/>
          </w:tcPr>
          <w:p w:rsidR="00E9522B" w:rsidRPr="00FE2FEC" w:rsidRDefault="00E9522B" w:rsidP="0001200B">
            <w:pPr>
              <w:jc w:val="right"/>
            </w:pPr>
            <w:r>
              <w:t>5</w:t>
            </w:r>
          </w:p>
        </w:tc>
        <w:tc>
          <w:tcPr>
            <w:tcW w:w="1350" w:type="dxa"/>
          </w:tcPr>
          <w:p w:rsidR="00E9522B" w:rsidRPr="00FE2FEC" w:rsidRDefault="00E9522B" w:rsidP="0001200B">
            <w:pPr>
              <w:jc w:val="right"/>
            </w:pPr>
            <w:r>
              <w:t>2.4%</w:t>
            </w:r>
          </w:p>
        </w:tc>
      </w:tr>
    </w:tbl>
    <w:p w:rsidR="00E9522B" w:rsidRDefault="00CF3D1F" w:rsidP="00E9522B">
      <w:pPr>
        <w:rPr>
          <w:sz w:val="20"/>
          <w:szCs w:val="20"/>
        </w:rPr>
      </w:pPr>
      <w:r w:rsidRPr="00CF3D1F">
        <w:rPr>
          <w:sz w:val="20"/>
          <w:szCs w:val="20"/>
        </w:rPr>
        <w:t>Source: RUPRI Center for Rural Health Policy Analysis database on ACO provider locations</w:t>
      </w:r>
      <w:r>
        <w:rPr>
          <w:sz w:val="20"/>
          <w:szCs w:val="20"/>
        </w:rPr>
        <w:t xml:space="preserve">; and CMS “ACO Investment Model” data </w:t>
      </w:r>
      <w:r w:rsidRPr="00CF3D1F">
        <w:rPr>
          <w:sz w:val="20"/>
          <w:szCs w:val="20"/>
        </w:rPr>
        <w:t>(</w:t>
      </w:r>
      <w:hyperlink r:id="rId12" w:history="1">
        <w:r w:rsidRPr="0096733D">
          <w:rPr>
            <w:rStyle w:val="Hyperlink"/>
            <w:sz w:val="20"/>
            <w:szCs w:val="20"/>
          </w:rPr>
          <w:t>https://innovation.cms.gov/initiatives/ACO-Investment-Model/</w:t>
        </w:r>
      </w:hyperlink>
      <w:r>
        <w:rPr>
          <w:sz w:val="20"/>
          <w:szCs w:val="20"/>
        </w:rPr>
        <w:t>, accessed 4/14/2018</w:t>
      </w:r>
      <w:r w:rsidRPr="00CF3D1F">
        <w:rPr>
          <w:sz w:val="20"/>
          <w:szCs w:val="20"/>
        </w:rPr>
        <w:t>).</w:t>
      </w:r>
    </w:p>
    <w:p w:rsidR="00CF3D1F" w:rsidRDefault="00CF3D1F" w:rsidP="00E9522B"/>
    <w:p w:rsidR="00E9522B" w:rsidRPr="00FC514A" w:rsidRDefault="00E9522B" w:rsidP="00E9522B">
      <w:pPr>
        <w:rPr>
          <w:b/>
        </w:rPr>
      </w:pPr>
      <w:r w:rsidRPr="00FC514A">
        <w:rPr>
          <w:b/>
        </w:rPr>
        <w:t xml:space="preserve">Table 3: Medicare ACO Model Participation, by Metropolitan/Nonmetropolitan County Presence, as of January 2017 </w:t>
      </w:r>
    </w:p>
    <w:tbl>
      <w:tblPr>
        <w:tblStyle w:val="TableGrid"/>
        <w:tblW w:w="0" w:type="auto"/>
        <w:tblLayout w:type="fixed"/>
        <w:tblLook w:val="04A0" w:firstRow="1" w:lastRow="0" w:firstColumn="1" w:lastColumn="0" w:noHBand="0" w:noVBand="1"/>
      </w:tblPr>
      <w:tblGrid>
        <w:gridCol w:w="1705"/>
        <w:gridCol w:w="2610"/>
        <w:gridCol w:w="540"/>
        <w:gridCol w:w="720"/>
        <w:gridCol w:w="599"/>
        <w:gridCol w:w="620"/>
        <w:gridCol w:w="611"/>
        <w:gridCol w:w="620"/>
        <w:gridCol w:w="611"/>
        <w:gridCol w:w="714"/>
      </w:tblGrid>
      <w:tr w:rsidR="00E9522B" w:rsidRPr="006C751E" w:rsidTr="0001200B">
        <w:tc>
          <w:tcPr>
            <w:tcW w:w="1705" w:type="dxa"/>
            <w:vMerge w:val="restart"/>
          </w:tcPr>
          <w:p w:rsidR="00E9522B" w:rsidRPr="006C751E" w:rsidRDefault="00E9522B" w:rsidP="0001200B">
            <w:pPr>
              <w:jc w:val="center"/>
              <w:rPr>
                <w:b/>
                <w:sz w:val="20"/>
                <w:szCs w:val="20"/>
              </w:rPr>
            </w:pPr>
          </w:p>
          <w:p w:rsidR="00E9522B" w:rsidRPr="006C751E" w:rsidRDefault="00E9522B" w:rsidP="0001200B">
            <w:pPr>
              <w:jc w:val="center"/>
              <w:rPr>
                <w:b/>
                <w:sz w:val="20"/>
                <w:szCs w:val="20"/>
              </w:rPr>
            </w:pPr>
            <w:r w:rsidRPr="006C751E">
              <w:rPr>
                <w:b/>
                <w:sz w:val="20"/>
                <w:szCs w:val="20"/>
              </w:rPr>
              <w:t>Metro/Nonmetro</w:t>
            </w:r>
          </w:p>
        </w:tc>
        <w:tc>
          <w:tcPr>
            <w:tcW w:w="2610" w:type="dxa"/>
            <w:vMerge w:val="restart"/>
          </w:tcPr>
          <w:p w:rsidR="00E9522B" w:rsidRPr="006C751E" w:rsidRDefault="00E9522B" w:rsidP="0001200B">
            <w:pPr>
              <w:jc w:val="center"/>
              <w:rPr>
                <w:b/>
                <w:sz w:val="20"/>
                <w:szCs w:val="20"/>
              </w:rPr>
            </w:pPr>
          </w:p>
          <w:p w:rsidR="00E9522B" w:rsidRPr="006C751E" w:rsidRDefault="00E9522B" w:rsidP="0001200B">
            <w:pPr>
              <w:jc w:val="center"/>
              <w:rPr>
                <w:b/>
                <w:sz w:val="20"/>
                <w:szCs w:val="20"/>
              </w:rPr>
            </w:pPr>
            <w:r w:rsidRPr="006C751E">
              <w:rPr>
                <w:b/>
                <w:sz w:val="20"/>
                <w:szCs w:val="20"/>
              </w:rPr>
              <w:t>Description</w:t>
            </w:r>
          </w:p>
        </w:tc>
        <w:tc>
          <w:tcPr>
            <w:tcW w:w="1260" w:type="dxa"/>
            <w:gridSpan w:val="2"/>
            <w:tcBorders>
              <w:bottom w:val="single" w:sz="4" w:space="0" w:color="auto"/>
            </w:tcBorders>
          </w:tcPr>
          <w:p w:rsidR="00E9522B" w:rsidRPr="006C751E" w:rsidRDefault="00E9522B" w:rsidP="0001200B">
            <w:pPr>
              <w:jc w:val="center"/>
              <w:rPr>
                <w:b/>
                <w:sz w:val="20"/>
                <w:szCs w:val="20"/>
              </w:rPr>
            </w:pPr>
            <w:r w:rsidRPr="006C751E">
              <w:rPr>
                <w:b/>
                <w:sz w:val="20"/>
                <w:szCs w:val="20"/>
              </w:rPr>
              <w:t>Track 1</w:t>
            </w:r>
          </w:p>
        </w:tc>
        <w:tc>
          <w:tcPr>
            <w:tcW w:w="1219" w:type="dxa"/>
            <w:gridSpan w:val="2"/>
            <w:tcBorders>
              <w:bottom w:val="single" w:sz="4" w:space="0" w:color="auto"/>
            </w:tcBorders>
          </w:tcPr>
          <w:p w:rsidR="00E9522B" w:rsidRPr="006C751E" w:rsidRDefault="00E9522B" w:rsidP="0001200B">
            <w:pPr>
              <w:jc w:val="center"/>
              <w:rPr>
                <w:b/>
                <w:sz w:val="20"/>
                <w:szCs w:val="20"/>
              </w:rPr>
            </w:pPr>
            <w:r w:rsidRPr="006C751E">
              <w:rPr>
                <w:b/>
                <w:sz w:val="20"/>
                <w:szCs w:val="20"/>
              </w:rPr>
              <w:t>Track 2</w:t>
            </w:r>
          </w:p>
        </w:tc>
        <w:tc>
          <w:tcPr>
            <w:tcW w:w="1231" w:type="dxa"/>
            <w:gridSpan w:val="2"/>
            <w:tcBorders>
              <w:bottom w:val="single" w:sz="4" w:space="0" w:color="auto"/>
            </w:tcBorders>
          </w:tcPr>
          <w:p w:rsidR="00E9522B" w:rsidRPr="006C751E" w:rsidRDefault="00E9522B" w:rsidP="0001200B">
            <w:pPr>
              <w:jc w:val="center"/>
              <w:rPr>
                <w:b/>
                <w:sz w:val="20"/>
                <w:szCs w:val="20"/>
              </w:rPr>
            </w:pPr>
            <w:r w:rsidRPr="006C751E">
              <w:rPr>
                <w:b/>
                <w:sz w:val="20"/>
                <w:szCs w:val="20"/>
              </w:rPr>
              <w:t>Track 3</w:t>
            </w:r>
          </w:p>
        </w:tc>
        <w:tc>
          <w:tcPr>
            <w:tcW w:w="1325" w:type="dxa"/>
            <w:gridSpan w:val="2"/>
            <w:tcBorders>
              <w:bottom w:val="single" w:sz="4" w:space="0" w:color="auto"/>
            </w:tcBorders>
          </w:tcPr>
          <w:p w:rsidR="00E9522B" w:rsidRPr="006C751E" w:rsidRDefault="00E9522B" w:rsidP="0001200B">
            <w:pPr>
              <w:jc w:val="center"/>
              <w:rPr>
                <w:b/>
                <w:sz w:val="20"/>
                <w:szCs w:val="20"/>
              </w:rPr>
            </w:pPr>
            <w:r w:rsidRPr="006C751E">
              <w:rPr>
                <w:b/>
                <w:sz w:val="20"/>
                <w:szCs w:val="20"/>
              </w:rPr>
              <w:t>Next Gen</w:t>
            </w:r>
          </w:p>
        </w:tc>
      </w:tr>
      <w:tr w:rsidR="00E9522B" w:rsidRPr="006C751E" w:rsidTr="0001200B">
        <w:tc>
          <w:tcPr>
            <w:tcW w:w="1705" w:type="dxa"/>
            <w:vMerge/>
            <w:tcBorders>
              <w:bottom w:val="double" w:sz="4" w:space="0" w:color="auto"/>
            </w:tcBorders>
          </w:tcPr>
          <w:p w:rsidR="00E9522B" w:rsidRPr="006C751E" w:rsidRDefault="00E9522B" w:rsidP="0001200B">
            <w:pPr>
              <w:jc w:val="center"/>
              <w:rPr>
                <w:b/>
                <w:sz w:val="20"/>
                <w:szCs w:val="20"/>
              </w:rPr>
            </w:pPr>
          </w:p>
        </w:tc>
        <w:tc>
          <w:tcPr>
            <w:tcW w:w="2610" w:type="dxa"/>
            <w:vMerge/>
            <w:tcBorders>
              <w:bottom w:val="double" w:sz="4" w:space="0" w:color="auto"/>
            </w:tcBorders>
          </w:tcPr>
          <w:p w:rsidR="00E9522B" w:rsidRPr="006C751E" w:rsidRDefault="00E9522B" w:rsidP="0001200B">
            <w:pPr>
              <w:jc w:val="center"/>
              <w:rPr>
                <w:b/>
                <w:sz w:val="20"/>
                <w:szCs w:val="20"/>
              </w:rPr>
            </w:pPr>
          </w:p>
        </w:tc>
        <w:tc>
          <w:tcPr>
            <w:tcW w:w="540" w:type="dxa"/>
            <w:tcBorders>
              <w:top w:val="single" w:sz="4" w:space="0" w:color="auto"/>
              <w:bottom w:val="double" w:sz="4" w:space="0" w:color="auto"/>
              <w:right w:val="nil"/>
            </w:tcBorders>
          </w:tcPr>
          <w:p w:rsidR="00E9522B" w:rsidRPr="006C751E" w:rsidRDefault="00E9522B" w:rsidP="0001200B">
            <w:pPr>
              <w:jc w:val="center"/>
              <w:rPr>
                <w:b/>
                <w:sz w:val="20"/>
                <w:szCs w:val="20"/>
              </w:rPr>
            </w:pPr>
            <w:r w:rsidRPr="006C751E">
              <w:rPr>
                <w:b/>
                <w:sz w:val="20"/>
                <w:szCs w:val="20"/>
              </w:rPr>
              <w:t>Ct</w:t>
            </w:r>
          </w:p>
        </w:tc>
        <w:tc>
          <w:tcPr>
            <w:tcW w:w="720" w:type="dxa"/>
            <w:tcBorders>
              <w:top w:val="single" w:sz="4" w:space="0" w:color="auto"/>
              <w:left w:val="nil"/>
              <w:bottom w:val="double" w:sz="4" w:space="0" w:color="auto"/>
            </w:tcBorders>
          </w:tcPr>
          <w:p w:rsidR="00E9522B" w:rsidRPr="006C751E" w:rsidRDefault="00E9522B" w:rsidP="0001200B">
            <w:pPr>
              <w:jc w:val="center"/>
              <w:rPr>
                <w:b/>
                <w:sz w:val="20"/>
                <w:szCs w:val="20"/>
              </w:rPr>
            </w:pPr>
            <w:r w:rsidRPr="006C751E">
              <w:rPr>
                <w:b/>
                <w:sz w:val="20"/>
                <w:szCs w:val="20"/>
              </w:rPr>
              <w:t>Pct</w:t>
            </w:r>
          </w:p>
        </w:tc>
        <w:tc>
          <w:tcPr>
            <w:tcW w:w="599" w:type="dxa"/>
            <w:tcBorders>
              <w:top w:val="single" w:sz="4" w:space="0" w:color="auto"/>
              <w:bottom w:val="double" w:sz="4" w:space="0" w:color="auto"/>
              <w:right w:val="nil"/>
            </w:tcBorders>
          </w:tcPr>
          <w:p w:rsidR="00E9522B" w:rsidRPr="006C751E" w:rsidRDefault="00E9522B" w:rsidP="0001200B">
            <w:pPr>
              <w:jc w:val="center"/>
              <w:rPr>
                <w:b/>
                <w:sz w:val="20"/>
                <w:szCs w:val="20"/>
              </w:rPr>
            </w:pPr>
            <w:r w:rsidRPr="006C751E">
              <w:rPr>
                <w:b/>
                <w:sz w:val="20"/>
                <w:szCs w:val="20"/>
              </w:rPr>
              <w:t>Ct</w:t>
            </w:r>
          </w:p>
        </w:tc>
        <w:tc>
          <w:tcPr>
            <w:tcW w:w="620" w:type="dxa"/>
            <w:tcBorders>
              <w:top w:val="single" w:sz="4" w:space="0" w:color="auto"/>
              <w:left w:val="nil"/>
              <w:bottom w:val="double" w:sz="4" w:space="0" w:color="auto"/>
            </w:tcBorders>
          </w:tcPr>
          <w:p w:rsidR="00E9522B" w:rsidRPr="006C751E" w:rsidRDefault="00E9522B" w:rsidP="0001200B">
            <w:pPr>
              <w:jc w:val="center"/>
              <w:rPr>
                <w:b/>
                <w:sz w:val="20"/>
                <w:szCs w:val="20"/>
              </w:rPr>
            </w:pPr>
            <w:r w:rsidRPr="006C751E">
              <w:rPr>
                <w:b/>
                <w:sz w:val="20"/>
                <w:szCs w:val="20"/>
              </w:rPr>
              <w:t>Pct</w:t>
            </w:r>
          </w:p>
        </w:tc>
        <w:tc>
          <w:tcPr>
            <w:tcW w:w="611" w:type="dxa"/>
            <w:tcBorders>
              <w:top w:val="single" w:sz="4" w:space="0" w:color="auto"/>
              <w:bottom w:val="double" w:sz="4" w:space="0" w:color="auto"/>
              <w:right w:val="nil"/>
            </w:tcBorders>
          </w:tcPr>
          <w:p w:rsidR="00E9522B" w:rsidRPr="006C751E" w:rsidRDefault="00E9522B" w:rsidP="0001200B">
            <w:pPr>
              <w:jc w:val="center"/>
              <w:rPr>
                <w:b/>
                <w:sz w:val="20"/>
                <w:szCs w:val="20"/>
              </w:rPr>
            </w:pPr>
            <w:r w:rsidRPr="006C751E">
              <w:rPr>
                <w:b/>
                <w:sz w:val="20"/>
                <w:szCs w:val="20"/>
              </w:rPr>
              <w:t>Ct</w:t>
            </w:r>
          </w:p>
        </w:tc>
        <w:tc>
          <w:tcPr>
            <w:tcW w:w="620" w:type="dxa"/>
            <w:tcBorders>
              <w:top w:val="single" w:sz="4" w:space="0" w:color="auto"/>
              <w:left w:val="nil"/>
              <w:bottom w:val="double" w:sz="4" w:space="0" w:color="auto"/>
            </w:tcBorders>
          </w:tcPr>
          <w:p w:rsidR="00E9522B" w:rsidRPr="006C751E" w:rsidRDefault="00E9522B" w:rsidP="0001200B">
            <w:pPr>
              <w:jc w:val="center"/>
              <w:rPr>
                <w:b/>
                <w:sz w:val="20"/>
                <w:szCs w:val="20"/>
              </w:rPr>
            </w:pPr>
            <w:r w:rsidRPr="006C751E">
              <w:rPr>
                <w:b/>
                <w:sz w:val="20"/>
                <w:szCs w:val="20"/>
              </w:rPr>
              <w:t>Pct</w:t>
            </w:r>
          </w:p>
        </w:tc>
        <w:tc>
          <w:tcPr>
            <w:tcW w:w="611" w:type="dxa"/>
            <w:tcBorders>
              <w:top w:val="single" w:sz="4" w:space="0" w:color="auto"/>
              <w:bottom w:val="double" w:sz="4" w:space="0" w:color="auto"/>
              <w:right w:val="nil"/>
            </w:tcBorders>
          </w:tcPr>
          <w:p w:rsidR="00E9522B" w:rsidRPr="006C751E" w:rsidRDefault="00E9522B" w:rsidP="0001200B">
            <w:pPr>
              <w:jc w:val="center"/>
              <w:rPr>
                <w:b/>
                <w:sz w:val="20"/>
                <w:szCs w:val="20"/>
              </w:rPr>
            </w:pPr>
            <w:r w:rsidRPr="006C751E">
              <w:rPr>
                <w:b/>
                <w:sz w:val="20"/>
                <w:szCs w:val="20"/>
              </w:rPr>
              <w:t>Ct</w:t>
            </w:r>
          </w:p>
        </w:tc>
        <w:tc>
          <w:tcPr>
            <w:tcW w:w="714" w:type="dxa"/>
            <w:tcBorders>
              <w:top w:val="single" w:sz="4" w:space="0" w:color="auto"/>
              <w:left w:val="nil"/>
              <w:bottom w:val="double" w:sz="4" w:space="0" w:color="auto"/>
            </w:tcBorders>
          </w:tcPr>
          <w:p w:rsidR="00E9522B" w:rsidRPr="006C751E" w:rsidRDefault="00E9522B" w:rsidP="0001200B">
            <w:pPr>
              <w:jc w:val="center"/>
              <w:rPr>
                <w:b/>
                <w:sz w:val="20"/>
                <w:szCs w:val="20"/>
              </w:rPr>
            </w:pPr>
            <w:r w:rsidRPr="006C751E">
              <w:rPr>
                <w:b/>
                <w:sz w:val="20"/>
                <w:szCs w:val="20"/>
              </w:rPr>
              <w:t>Pct</w:t>
            </w:r>
          </w:p>
        </w:tc>
      </w:tr>
      <w:tr w:rsidR="00E9522B" w:rsidRPr="006C751E" w:rsidTr="0001200B">
        <w:tc>
          <w:tcPr>
            <w:tcW w:w="1705" w:type="dxa"/>
            <w:tcBorders>
              <w:top w:val="double" w:sz="4" w:space="0" w:color="auto"/>
            </w:tcBorders>
          </w:tcPr>
          <w:p w:rsidR="00E9522B" w:rsidRPr="006C751E" w:rsidRDefault="00E9522B" w:rsidP="0001200B">
            <w:pPr>
              <w:rPr>
                <w:sz w:val="20"/>
                <w:szCs w:val="20"/>
              </w:rPr>
            </w:pPr>
            <w:r w:rsidRPr="006C751E">
              <w:rPr>
                <w:sz w:val="20"/>
                <w:szCs w:val="20"/>
              </w:rPr>
              <w:t xml:space="preserve">Nonmetro </w:t>
            </w:r>
          </w:p>
        </w:tc>
        <w:tc>
          <w:tcPr>
            <w:tcW w:w="2610" w:type="dxa"/>
            <w:tcBorders>
              <w:top w:val="double" w:sz="4" w:space="0" w:color="auto"/>
            </w:tcBorders>
          </w:tcPr>
          <w:p w:rsidR="00E9522B" w:rsidRPr="006C751E" w:rsidRDefault="00E9522B" w:rsidP="0001200B">
            <w:pPr>
              <w:rPr>
                <w:sz w:val="20"/>
                <w:szCs w:val="20"/>
              </w:rPr>
            </w:pPr>
            <w:r w:rsidRPr="006C751E">
              <w:rPr>
                <w:sz w:val="20"/>
                <w:szCs w:val="20"/>
              </w:rPr>
              <w:t xml:space="preserve">100% nonmetro counties </w:t>
            </w:r>
          </w:p>
        </w:tc>
        <w:tc>
          <w:tcPr>
            <w:tcW w:w="540" w:type="dxa"/>
            <w:tcBorders>
              <w:top w:val="double" w:sz="4" w:space="0" w:color="auto"/>
              <w:right w:val="nil"/>
            </w:tcBorders>
          </w:tcPr>
          <w:p w:rsidR="00E9522B" w:rsidRPr="006C751E" w:rsidRDefault="00E9522B" w:rsidP="0001200B">
            <w:pPr>
              <w:jc w:val="right"/>
              <w:rPr>
                <w:sz w:val="20"/>
                <w:szCs w:val="20"/>
              </w:rPr>
            </w:pPr>
            <w:r w:rsidRPr="006C751E">
              <w:rPr>
                <w:sz w:val="20"/>
                <w:szCs w:val="20"/>
              </w:rPr>
              <w:t>8</w:t>
            </w:r>
          </w:p>
        </w:tc>
        <w:tc>
          <w:tcPr>
            <w:tcW w:w="720" w:type="dxa"/>
            <w:tcBorders>
              <w:top w:val="double" w:sz="4" w:space="0" w:color="auto"/>
              <w:left w:val="nil"/>
            </w:tcBorders>
          </w:tcPr>
          <w:p w:rsidR="00E9522B" w:rsidRPr="006C751E" w:rsidRDefault="00E9522B" w:rsidP="0001200B">
            <w:pPr>
              <w:jc w:val="right"/>
              <w:rPr>
                <w:sz w:val="20"/>
                <w:szCs w:val="20"/>
              </w:rPr>
            </w:pPr>
            <w:r w:rsidRPr="006C751E">
              <w:rPr>
                <w:sz w:val="20"/>
                <w:szCs w:val="20"/>
              </w:rPr>
              <w:t>100%</w:t>
            </w:r>
          </w:p>
        </w:tc>
        <w:tc>
          <w:tcPr>
            <w:tcW w:w="599" w:type="dxa"/>
            <w:tcBorders>
              <w:top w:val="double" w:sz="4" w:space="0" w:color="auto"/>
              <w:right w:val="nil"/>
            </w:tcBorders>
          </w:tcPr>
          <w:p w:rsidR="00E9522B" w:rsidRPr="006C751E" w:rsidRDefault="00E9522B" w:rsidP="0001200B">
            <w:pPr>
              <w:jc w:val="right"/>
              <w:rPr>
                <w:sz w:val="20"/>
                <w:szCs w:val="20"/>
              </w:rPr>
            </w:pPr>
            <w:r w:rsidRPr="006C751E">
              <w:rPr>
                <w:sz w:val="20"/>
                <w:szCs w:val="20"/>
              </w:rPr>
              <w:t>0</w:t>
            </w:r>
          </w:p>
        </w:tc>
        <w:tc>
          <w:tcPr>
            <w:tcW w:w="620" w:type="dxa"/>
            <w:tcBorders>
              <w:top w:val="double" w:sz="4" w:space="0" w:color="auto"/>
              <w:left w:val="nil"/>
            </w:tcBorders>
          </w:tcPr>
          <w:p w:rsidR="00E9522B" w:rsidRPr="006C751E" w:rsidRDefault="00E9522B" w:rsidP="0001200B">
            <w:pPr>
              <w:jc w:val="right"/>
              <w:rPr>
                <w:sz w:val="20"/>
                <w:szCs w:val="20"/>
              </w:rPr>
            </w:pPr>
            <w:r>
              <w:rPr>
                <w:sz w:val="20"/>
                <w:szCs w:val="20"/>
              </w:rPr>
              <w:t>0%</w:t>
            </w:r>
          </w:p>
        </w:tc>
        <w:tc>
          <w:tcPr>
            <w:tcW w:w="611" w:type="dxa"/>
            <w:tcBorders>
              <w:top w:val="double" w:sz="4" w:space="0" w:color="auto"/>
              <w:right w:val="nil"/>
            </w:tcBorders>
          </w:tcPr>
          <w:p w:rsidR="00E9522B" w:rsidRPr="006C751E" w:rsidRDefault="00E9522B" w:rsidP="0001200B">
            <w:pPr>
              <w:jc w:val="right"/>
              <w:rPr>
                <w:sz w:val="20"/>
                <w:szCs w:val="20"/>
              </w:rPr>
            </w:pPr>
            <w:r w:rsidRPr="006C751E">
              <w:rPr>
                <w:sz w:val="20"/>
                <w:szCs w:val="20"/>
              </w:rPr>
              <w:t>0</w:t>
            </w:r>
          </w:p>
        </w:tc>
        <w:tc>
          <w:tcPr>
            <w:tcW w:w="620" w:type="dxa"/>
            <w:tcBorders>
              <w:top w:val="double" w:sz="4" w:space="0" w:color="auto"/>
              <w:left w:val="nil"/>
            </w:tcBorders>
          </w:tcPr>
          <w:p w:rsidR="00E9522B" w:rsidRPr="006C751E" w:rsidRDefault="00E9522B" w:rsidP="0001200B">
            <w:pPr>
              <w:jc w:val="right"/>
              <w:rPr>
                <w:sz w:val="20"/>
                <w:szCs w:val="20"/>
              </w:rPr>
            </w:pPr>
            <w:r>
              <w:rPr>
                <w:sz w:val="20"/>
                <w:szCs w:val="20"/>
              </w:rPr>
              <w:t>0%</w:t>
            </w:r>
          </w:p>
        </w:tc>
        <w:tc>
          <w:tcPr>
            <w:tcW w:w="611" w:type="dxa"/>
            <w:tcBorders>
              <w:top w:val="double" w:sz="4" w:space="0" w:color="auto"/>
              <w:right w:val="nil"/>
            </w:tcBorders>
          </w:tcPr>
          <w:p w:rsidR="00E9522B" w:rsidRPr="006C751E" w:rsidRDefault="00E9522B" w:rsidP="0001200B">
            <w:pPr>
              <w:jc w:val="right"/>
              <w:rPr>
                <w:sz w:val="20"/>
                <w:szCs w:val="20"/>
              </w:rPr>
            </w:pPr>
            <w:r w:rsidRPr="006C751E">
              <w:rPr>
                <w:sz w:val="20"/>
                <w:szCs w:val="20"/>
              </w:rPr>
              <w:t>0</w:t>
            </w:r>
          </w:p>
        </w:tc>
        <w:tc>
          <w:tcPr>
            <w:tcW w:w="714" w:type="dxa"/>
            <w:tcBorders>
              <w:top w:val="double" w:sz="4" w:space="0" w:color="auto"/>
              <w:left w:val="nil"/>
            </w:tcBorders>
          </w:tcPr>
          <w:p w:rsidR="00E9522B" w:rsidRPr="006C751E" w:rsidRDefault="00E9522B" w:rsidP="0001200B">
            <w:pPr>
              <w:jc w:val="right"/>
              <w:rPr>
                <w:sz w:val="20"/>
                <w:szCs w:val="20"/>
              </w:rPr>
            </w:pPr>
            <w:r>
              <w:rPr>
                <w:sz w:val="20"/>
                <w:szCs w:val="20"/>
              </w:rPr>
              <w:t>0%</w:t>
            </w:r>
          </w:p>
        </w:tc>
      </w:tr>
      <w:tr w:rsidR="00E9522B" w:rsidRPr="006C751E" w:rsidTr="0001200B">
        <w:tc>
          <w:tcPr>
            <w:tcW w:w="1705" w:type="dxa"/>
          </w:tcPr>
          <w:p w:rsidR="00E9522B" w:rsidRPr="006C751E" w:rsidRDefault="00E9522B" w:rsidP="0001200B">
            <w:pPr>
              <w:rPr>
                <w:sz w:val="20"/>
                <w:szCs w:val="20"/>
              </w:rPr>
            </w:pPr>
            <w:r w:rsidRPr="006C751E">
              <w:rPr>
                <w:sz w:val="20"/>
                <w:szCs w:val="20"/>
              </w:rPr>
              <w:t xml:space="preserve">Mostly nonmetro </w:t>
            </w:r>
          </w:p>
        </w:tc>
        <w:tc>
          <w:tcPr>
            <w:tcW w:w="2610" w:type="dxa"/>
          </w:tcPr>
          <w:p w:rsidR="00E9522B" w:rsidRPr="006C751E" w:rsidRDefault="00E9522B" w:rsidP="0001200B">
            <w:pPr>
              <w:rPr>
                <w:sz w:val="20"/>
                <w:szCs w:val="20"/>
              </w:rPr>
            </w:pPr>
            <w:r w:rsidRPr="006C751E">
              <w:rPr>
                <w:sz w:val="20"/>
                <w:szCs w:val="20"/>
              </w:rPr>
              <w:t xml:space="preserve">70%-99% nonmetro counties </w:t>
            </w:r>
          </w:p>
        </w:tc>
        <w:tc>
          <w:tcPr>
            <w:tcW w:w="540" w:type="dxa"/>
            <w:tcBorders>
              <w:right w:val="nil"/>
            </w:tcBorders>
          </w:tcPr>
          <w:p w:rsidR="00E9522B" w:rsidRPr="006C751E" w:rsidRDefault="00E9522B" w:rsidP="0001200B">
            <w:pPr>
              <w:jc w:val="right"/>
              <w:rPr>
                <w:sz w:val="20"/>
                <w:szCs w:val="20"/>
              </w:rPr>
            </w:pPr>
            <w:r w:rsidRPr="006C751E">
              <w:rPr>
                <w:sz w:val="20"/>
                <w:szCs w:val="20"/>
              </w:rPr>
              <w:t>42</w:t>
            </w:r>
          </w:p>
        </w:tc>
        <w:tc>
          <w:tcPr>
            <w:tcW w:w="720" w:type="dxa"/>
            <w:tcBorders>
              <w:left w:val="nil"/>
            </w:tcBorders>
          </w:tcPr>
          <w:p w:rsidR="00E9522B" w:rsidRPr="006C751E" w:rsidRDefault="00E9522B" w:rsidP="0001200B">
            <w:pPr>
              <w:jc w:val="right"/>
              <w:rPr>
                <w:sz w:val="20"/>
                <w:szCs w:val="20"/>
              </w:rPr>
            </w:pPr>
            <w:r w:rsidRPr="006C751E">
              <w:rPr>
                <w:sz w:val="20"/>
                <w:szCs w:val="20"/>
              </w:rPr>
              <w:t>93.3%</w:t>
            </w:r>
          </w:p>
        </w:tc>
        <w:tc>
          <w:tcPr>
            <w:tcW w:w="599" w:type="dxa"/>
            <w:tcBorders>
              <w:right w:val="nil"/>
            </w:tcBorders>
          </w:tcPr>
          <w:p w:rsidR="00E9522B" w:rsidRPr="006C751E" w:rsidRDefault="00E9522B" w:rsidP="0001200B">
            <w:pPr>
              <w:jc w:val="right"/>
              <w:rPr>
                <w:sz w:val="20"/>
                <w:szCs w:val="20"/>
              </w:rPr>
            </w:pPr>
            <w:r>
              <w:rPr>
                <w:sz w:val="20"/>
                <w:szCs w:val="20"/>
              </w:rPr>
              <w:t>0</w:t>
            </w:r>
          </w:p>
        </w:tc>
        <w:tc>
          <w:tcPr>
            <w:tcW w:w="620" w:type="dxa"/>
            <w:tcBorders>
              <w:left w:val="nil"/>
            </w:tcBorders>
          </w:tcPr>
          <w:p w:rsidR="00E9522B" w:rsidRPr="006C751E" w:rsidRDefault="00E9522B" w:rsidP="0001200B">
            <w:pPr>
              <w:jc w:val="right"/>
              <w:rPr>
                <w:sz w:val="20"/>
                <w:szCs w:val="20"/>
              </w:rPr>
            </w:pPr>
            <w:r>
              <w:rPr>
                <w:sz w:val="20"/>
                <w:szCs w:val="20"/>
              </w:rPr>
              <w:t>0%</w:t>
            </w:r>
          </w:p>
        </w:tc>
        <w:tc>
          <w:tcPr>
            <w:tcW w:w="611" w:type="dxa"/>
            <w:tcBorders>
              <w:right w:val="nil"/>
            </w:tcBorders>
          </w:tcPr>
          <w:p w:rsidR="00E9522B" w:rsidRPr="006C751E" w:rsidRDefault="00E9522B" w:rsidP="0001200B">
            <w:pPr>
              <w:jc w:val="right"/>
              <w:rPr>
                <w:sz w:val="20"/>
                <w:szCs w:val="20"/>
              </w:rPr>
            </w:pPr>
            <w:r w:rsidRPr="006C751E">
              <w:rPr>
                <w:sz w:val="20"/>
                <w:szCs w:val="20"/>
              </w:rPr>
              <w:t>1</w:t>
            </w:r>
          </w:p>
        </w:tc>
        <w:tc>
          <w:tcPr>
            <w:tcW w:w="620" w:type="dxa"/>
            <w:tcBorders>
              <w:left w:val="nil"/>
            </w:tcBorders>
          </w:tcPr>
          <w:p w:rsidR="00E9522B" w:rsidRPr="006C751E" w:rsidRDefault="00E9522B" w:rsidP="0001200B">
            <w:pPr>
              <w:jc w:val="right"/>
              <w:rPr>
                <w:sz w:val="20"/>
                <w:szCs w:val="20"/>
              </w:rPr>
            </w:pPr>
            <w:r w:rsidRPr="006C751E">
              <w:rPr>
                <w:sz w:val="20"/>
                <w:szCs w:val="20"/>
              </w:rPr>
              <w:t>2.2%</w:t>
            </w:r>
          </w:p>
        </w:tc>
        <w:tc>
          <w:tcPr>
            <w:tcW w:w="611" w:type="dxa"/>
            <w:tcBorders>
              <w:right w:val="nil"/>
            </w:tcBorders>
          </w:tcPr>
          <w:p w:rsidR="00E9522B" w:rsidRPr="006C751E" w:rsidRDefault="00E9522B" w:rsidP="0001200B">
            <w:pPr>
              <w:jc w:val="right"/>
              <w:rPr>
                <w:sz w:val="20"/>
                <w:szCs w:val="20"/>
              </w:rPr>
            </w:pPr>
            <w:r w:rsidRPr="006C751E">
              <w:rPr>
                <w:sz w:val="20"/>
                <w:szCs w:val="20"/>
              </w:rPr>
              <w:t>2</w:t>
            </w:r>
          </w:p>
        </w:tc>
        <w:tc>
          <w:tcPr>
            <w:tcW w:w="714" w:type="dxa"/>
            <w:tcBorders>
              <w:left w:val="nil"/>
            </w:tcBorders>
          </w:tcPr>
          <w:p w:rsidR="00E9522B" w:rsidRPr="006C751E" w:rsidRDefault="00E9522B" w:rsidP="0001200B">
            <w:pPr>
              <w:jc w:val="right"/>
              <w:rPr>
                <w:sz w:val="20"/>
                <w:szCs w:val="20"/>
              </w:rPr>
            </w:pPr>
            <w:r w:rsidRPr="006C751E">
              <w:rPr>
                <w:sz w:val="20"/>
                <w:szCs w:val="20"/>
              </w:rPr>
              <w:t>4.4%</w:t>
            </w:r>
          </w:p>
        </w:tc>
      </w:tr>
      <w:tr w:rsidR="00E9522B" w:rsidRPr="006C751E" w:rsidTr="0001200B">
        <w:tc>
          <w:tcPr>
            <w:tcW w:w="1705" w:type="dxa"/>
          </w:tcPr>
          <w:p w:rsidR="00E9522B" w:rsidRPr="006C751E" w:rsidRDefault="00E9522B" w:rsidP="0001200B">
            <w:pPr>
              <w:rPr>
                <w:sz w:val="20"/>
                <w:szCs w:val="20"/>
              </w:rPr>
            </w:pPr>
            <w:r w:rsidRPr="006C751E">
              <w:rPr>
                <w:sz w:val="20"/>
                <w:szCs w:val="20"/>
              </w:rPr>
              <w:t>Mixed</w:t>
            </w:r>
          </w:p>
        </w:tc>
        <w:tc>
          <w:tcPr>
            <w:tcW w:w="2610" w:type="dxa"/>
          </w:tcPr>
          <w:p w:rsidR="00E9522B" w:rsidRPr="006C751E" w:rsidRDefault="00E9522B" w:rsidP="0001200B">
            <w:pPr>
              <w:rPr>
                <w:sz w:val="20"/>
                <w:szCs w:val="20"/>
              </w:rPr>
            </w:pPr>
            <w:r w:rsidRPr="006C751E">
              <w:rPr>
                <w:sz w:val="20"/>
                <w:szCs w:val="20"/>
              </w:rPr>
              <w:t xml:space="preserve">30%-69% nonmetro counties </w:t>
            </w:r>
          </w:p>
        </w:tc>
        <w:tc>
          <w:tcPr>
            <w:tcW w:w="540" w:type="dxa"/>
            <w:tcBorders>
              <w:right w:val="nil"/>
            </w:tcBorders>
          </w:tcPr>
          <w:p w:rsidR="00E9522B" w:rsidRPr="006C751E" w:rsidRDefault="00E9522B" w:rsidP="0001200B">
            <w:pPr>
              <w:jc w:val="right"/>
              <w:rPr>
                <w:sz w:val="20"/>
                <w:szCs w:val="20"/>
              </w:rPr>
            </w:pPr>
            <w:r w:rsidRPr="006C751E">
              <w:rPr>
                <w:sz w:val="20"/>
                <w:szCs w:val="20"/>
              </w:rPr>
              <w:t>124</w:t>
            </w:r>
          </w:p>
        </w:tc>
        <w:tc>
          <w:tcPr>
            <w:tcW w:w="720" w:type="dxa"/>
            <w:tcBorders>
              <w:left w:val="nil"/>
            </w:tcBorders>
          </w:tcPr>
          <w:p w:rsidR="00E9522B" w:rsidRPr="006C751E" w:rsidRDefault="00E9522B" w:rsidP="0001200B">
            <w:pPr>
              <w:jc w:val="right"/>
              <w:rPr>
                <w:sz w:val="20"/>
                <w:szCs w:val="20"/>
              </w:rPr>
            </w:pPr>
            <w:r w:rsidRPr="006C751E">
              <w:rPr>
                <w:sz w:val="20"/>
                <w:szCs w:val="20"/>
              </w:rPr>
              <w:t>86.1%</w:t>
            </w:r>
          </w:p>
        </w:tc>
        <w:tc>
          <w:tcPr>
            <w:tcW w:w="599" w:type="dxa"/>
            <w:tcBorders>
              <w:right w:val="nil"/>
            </w:tcBorders>
          </w:tcPr>
          <w:p w:rsidR="00E9522B" w:rsidRPr="006C751E" w:rsidRDefault="00E9522B" w:rsidP="0001200B">
            <w:pPr>
              <w:jc w:val="right"/>
              <w:rPr>
                <w:sz w:val="20"/>
                <w:szCs w:val="20"/>
              </w:rPr>
            </w:pPr>
            <w:r>
              <w:rPr>
                <w:sz w:val="20"/>
                <w:szCs w:val="20"/>
              </w:rPr>
              <w:t>0</w:t>
            </w:r>
          </w:p>
        </w:tc>
        <w:tc>
          <w:tcPr>
            <w:tcW w:w="620" w:type="dxa"/>
            <w:tcBorders>
              <w:left w:val="nil"/>
            </w:tcBorders>
          </w:tcPr>
          <w:p w:rsidR="00E9522B" w:rsidRPr="006C751E" w:rsidRDefault="00E9522B" w:rsidP="0001200B">
            <w:pPr>
              <w:jc w:val="right"/>
              <w:rPr>
                <w:sz w:val="20"/>
                <w:szCs w:val="20"/>
              </w:rPr>
            </w:pPr>
            <w:r>
              <w:rPr>
                <w:sz w:val="20"/>
                <w:szCs w:val="20"/>
              </w:rPr>
              <w:t>0%</w:t>
            </w:r>
          </w:p>
        </w:tc>
        <w:tc>
          <w:tcPr>
            <w:tcW w:w="611" w:type="dxa"/>
            <w:tcBorders>
              <w:right w:val="nil"/>
            </w:tcBorders>
          </w:tcPr>
          <w:p w:rsidR="00E9522B" w:rsidRPr="006C751E" w:rsidRDefault="00E9522B" w:rsidP="0001200B">
            <w:pPr>
              <w:jc w:val="right"/>
              <w:rPr>
                <w:sz w:val="20"/>
                <w:szCs w:val="20"/>
              </w:rPr>
            </w:pPr>
            <w:r w:rsidRPr="006C751E">
              <w:rPr>
                <w:sz w:val="20"/>
                <w:szCs w:val="20"/>
              </w:rPr>
              <w:t>9</w:t>
            </w:r>
          </w:p>
        </w:tc>
        <w:tc>
          <w:tcPr>
            <w:tcW w:w="620" w:type="dxa"/>
            <w:tcBorders>
              <w:left w:val="nil"/>
            </w:tcBorders>
          </w:tcPr>
          <w:p w:rsidR="00E9522B" w:rsidRPr="006C751E" w:rsidRDefault="00E9522B" w:rsidP="0001200B">
            <w:pPr>
              <w:jc w:val="right"/>
              <w:rPr>
                <w:sz w:val="20"/>
                <w:szCs w:val="20"/>
              </w:rPr>
            </w:pPr>
            <w:r w:rsidRPr="006C751E">
              <w:rPr>
                <w:sz w:val="20"/>
                <w:szCs w:val="20"/>
              </w:rPr>
              <w:t>6.3%</w:t>
            </w:r>
          </w:p>
        </w:tc>
        <w:tc>
          <w:tcPr>
            <w:tcW w:w="611" w:type="dxa"/>
            <w:tcBorders>
              <w:right w:val="nil"/>
            </w:tcBorders>
          </w:tcPr>
          <w:p w:rsidR="00E9522B" w:rsidRPr="006C751E" w:rsidRDefault="00E9522B" w:rsidP="0001200B">
            <w:pPr>
              <w:jc w:val="right"/>
              <w:rPr>
                <w:sz w:val="20"/>
                <w:szCs w:val="20"/>
              </w:rPr>
            </w:pPr>
            <w:r w:rsidRPr="006C751E">
              <w:rPr>
                <w:sz w:val="20"/>
                <w:szCs w:val="20"/>
              </w:rPr>
              <w:t>11</w:t>
            </w:r>
          </w:p>
        </w:tc>
        <w:tc>
          <w:tcPr>
            <w:tcW w:w="714" w:type="dxa"/>
            <w:tcBorders>
              <w:left w:val="nil"/>
            </w:tcBorders>
          </w:tcPr>
          <w:p w:rsidR="00E9522B" w:rsidRPr="006C751E" w:rsidRDefault="00E9522B" w:rsidP="0001200B">
            <w:pPr>
              <w:jc w:val="right"/>
              <w:rPr>
                <w:sz w:val="20"/>
                <w:szCs w:val="20"/>
              </w:rPr>
            </w:pPr>
            <w:r w:rsidRPr="006C751E">
              <w:rPr>
                <w:sz w:val="20"/>
                <w:szCs w:val="20"/>
              </w:rPr>
              <w:t>7.6%</w:t>
            </w:r>
          </w:p>
        </w:tc>
      </w:tr>
      <w:tr w:rsidR="00E9522B" w:rsidRPr="006C751E" w:rsidTr="0001200B">
        <w:tc>
          <w:tcPr>
            <w:tcW w:w="1705" w:type="dxa"/>
          </w:tcPr>
          <w:p w:rsidR="00E9522B" w:rsidRPr="006C751E" w:rsidRDefault="00E9522B" w:rsidP="0001200B">
            <w:pPr>
              <w:rPr>
                <w:sz w:val="20"/>
                <w:szCs w:val="20"/>
              </w:rPr>
            </w:pPr>
            <w:r w:rsidRPr="006C751E">
              <w:rPr>
                <w:sz w:val="20"/>
                <w:szCs w:val="20"/>
              </w:rPr>
              <w:t xml:space="preserve">Mostly metro </w:t>
            </w:r>
          </w:p>
        </w:tc>
        <w:tc>
          <w:tcPr>
            <w:tcW w:w="2610" w:type="dxa"/>
          </w:tcPr>
          <w:p w:rsidR="00E9522B" w:rsidRPr="006C751E" w:rsidRDefault="00E9522B" w:rsidP="0001200B">
            <w:pPr>
              <w:rPr>
                <w:sz w:val="20"/>
                <w:szCs w:val="20"/>
              </w:rPr>
            </w:pPr>
            <w:r w:rsidRPr="006C751E">
              <w:rPr>
                <w:sz w:val="20"/>
                <w:szCs w:val="20"/>
              </w:rPr>
              <w:t xml:space="preserve">1%-29% nonmetro counties </w:t>
            </w:r>
          </w:p>
        </w:tc>
        <w:tc>
          <w:tcPr>
            <w:tcW w:w="540" w:type="dxa"/>
            <w:tcBorders>
              <w:right w:val="nil"/>
            </w:tcBorders>
          </w:tcPr>
          <w:p w:rsidR="00E9522B" w:rsidRPr="006C751E" w:rsidRDefault="00E9522B" w:rsidP="0001200B">
            <w:pPr>
              <w:jc w:val="right"/>
              <w:rPr>
                <w:sz w:val="20"/>
                <w:szCs w:val="20"/>
              </w:rPr>
            </w:pPr>
            <w:r w:rsidRPr="006C751E">
              <w:rPr>
                <w:sz w:val="20"/>
                <w:szCs w:val="20"/>
              </w:rPr>
              <w:t>95</w:t>
            </w:r>
          </w:p>
        </w:tc>
        <w:tc>
          <w:tcPr>
            <w:tcW w:w="720" w:type="dxa"/>
            <w:tcBorders>
              <w:left w:val="nil"/>
            </w:tcBorders>
          </w:tcPr>
          <w:p w:rsidR="00E9522B" w:rsidRPr="006C751E" w:rsidRDefault="00E9522B" w:rsidP="0001200B">
            <w:pPr>
              <w:jc w:val="right"/>
              <w:rPr>
                <w:sz w:val="20"/>
                <w:szCs w:val="20"/>
              </w:rPr>
            </w:pPr>
            <w:r w:rsidRPr="006C751E">
              <w:rPr>
                <w:sz w:val="20"/>
                <w:szCs w:val="20"/>
              </w:rPr>
              <w:t>84.8%</w:t>
            </w:r>
          </w:p>
        </w:tc>
        <w:tc>
          <w:tcPr>
            <w:tcW w:w="599" w:type="dxa"/>
            <w:tcBorders>
              <w:right w:val="nil"/>
            </w:tcBorders>
          </w:tcPr>
          <w:p w:rsidR="00E9522B" w:rsidRPr="006C751E" w:rsidRDefault="00E9522B" w:rsidP="0001200B">
            <w:pPr>
              <w:jc w:val="right"/>
              <w:rPr>
                <w:sz w:val="20"/>
                <w:szCs w:val="20"/>
              </w:rPr>
            </w:pPr>
            <w:r w:rsidRPr="006C751E">
              <w:rPr>
                <w:sz w:val="20"/>
                <w:szCs w:val="20"/>
              </w:rPr>
              <w:t>2</w:t>
            </w:r>
          </w:p>
        </w:tc>
        <w:tc>
          <w:tcPr>
            <w:tcW w:w="620" w:type="dxa"/>
            <w:tcBorders>
              <w:left w:val="nil"/>
            </w:tcBorders>
          </w:tcPr>
          <w:p w:rsidR="00E9522B" w:rsidRPr="006C751E" w:rsidRDefault="00E9522B" w:rsidP="0001200B">
            <w:pPr>
              <w:jc w:val="right"/>
              <w:rPr>
                <w:sz w:val="20"/>
                <w:szCs w:val="20"/>
              </w:rPr>
            </w:pPr>
            <w:r w:rsidRPr="006C751E">
              <w:rPr>
                <w:sz w:val="20"/>
                <w:szCs w:val="20"/>
              </w:rPr>
              <w:t>1.8%</w:t>
            </w:r>
          </w:p>
        </w:tc>
        <w:tc>
          <w:tcPr>
            <w:tcW w:w="611" w:type="dxa"/>
            <w:tcBorders>
              <w:right w:val="nil"/>
            </w:tcBorders>
          </w:tcPr>
          <w:p w:rsidR="00E9522B" w:rsidRPr="006C751E" w:rsidRDefault="00E9522B" w:rsidP="0001200B">
            <w:pPr>
              <w:jc w:val="right"/>
              <w:rPr>
                <w:sz w:val="20"/>
                <w:szCs w:val="20"/>
              </w:rPr>
            </w:pPr>
            <w:r w:rsidRPr="006C751E">
              <w:rPr>
                <w:sz w:val="20"/>
                <w:szCs w:val="20"/>
              </w:rPr>
              <w:t>5</w:t>
            </w:r>
          </w:p>
        </w:tc>
        <w:tc>
          <w:tcPr>
            <w:tcW w:w="620" w:type="dxa"/>
            <w:tcBorders>
              <w:left w:val="nil"/>
            </w:tcBorders>
          </w:tcPr>
          <w:p w:rsidR="00E9522B" w:rsidRPr="006C751E" w:rsidRDefault="00E9522B" w:rsidP="0001200B">
            <w:pPr>
              <w:jc w:val="right"/>
              <w:rPr>
                <w:sz w:val="20"/>
                <w:szCs w:val="20"/>
              </w:rPr>
            </w:pPr>
            <w:r w:rsidRPr="006C751E">
              <w:rPr>
                <w:sz w:val="20"/>
                <w:szCs w:val="20"/>
              </w:rPr>
              <w:t>4.5%</w:t>
            </w:r>
          </w:p>
        </w:tc>
        <w:tc>
          <w:tcPr>
            <w:tcW w:w="611" w:type="dxa"/>
            <w:tcBorders>
              <w:right w:val="nil"/>
            </w:tcBorders>
          </w:tcPr>
          <w:p w:rsidR="00E9522B" w:rsidRPr="006C751E" w:rsidRDefault="00E9522B" w:rsidP="0001200B">
            <w:pPr>
              <w:jc w:val="right"/>
              <w:rPr>
                <w:sz w:val="20"/>
                <w:szCs w:val="20"/>
              </w:rPr>
            </w:pPr>
            <w:r w:rsidRPr="006C751E">
              <w:rPr>
                <w:sz w:val="20"/>
                <w:szCs w:val="20"/>
              </w:rPr>
              <w:t>10</w:t>
            </w:r>
          </w:p>
        </w:tc>
        <w:tc>
          <w:tcPr>
            <w:tcW w:w="714" w:type="dxa"/>
            <w:tcBorders>
              <w:left w:val="nil"/>
            </w:tcBorders>
          </w:tcPr>
          <w:p w:rsidR="00E9522B" w:rsidRPr="006C751E" w:rsidRDefault="00E9522B" w:rsidP="0001200B">
            <w:pPr>
              <w:jc w:val="right"/>
              <w:rPr>
                <w:sz w:val="20"/>
                <w:szCs w:val="20"/>
              </w:rPr>
            </w:pPr>
            <w:r w:rsidRPr="006C751E">
              <w:rPr>
                <w:sz w:val="20"/>
                <w:szCs w:val="20"/>
              </w:rPr>
              <w:t>8.9%</w:t>
            </w:r>
          </w:p>
        </w:tc>
      </w:tr>
      <w:tr w:rsidR="00E9522B" w:rsidRPr="006C751E" w:rsidTr="0001200B">
        <w:tc>
          <w:tcPr>
            <w:tcW w:w="1705" w:type="dxa"/>
          </w:tcPr>
          <w:p w:rsidR="00E9522B" w:rsidRPr="006C751E" w:rsidRDefault="00E9522B" w:rsidP="0001200B">
            <w:pPr>
              <w:rPr>
                <w:sz w:val="20"/>
                <w:szCs w:val="20"/>
              </w:rPr>
            </w:pPr>
            <w:r w:rsidRPr="006C751E">
              <w:rPr>
                <w:sz w:val="20"/>
                <w:szCs w:val="20"/>
              </w:rPr>
              <w:t xml:space="preserve">Metro </w:t>
            </w:r>
          </w:p>
        </w:tc>
        <w:tc>
          <w:tcPr>
            <w:tcW w:w="2610" w:type="dxa"/>
          </w:tcPr>
          <w:p w:rsidR="00E9522B" w:rsidRPr="006C751E" w:rsidRDefault="00E9522B" w:rsidP="0001200B">
            <w:pPr>
              <w:rPr>
                <w:sz w:val="20"/>
                <w:szCs w:val="20"/>
              </w:rPr>
            </w:pPr>
            <w:r w:rsidRPr="006C751E">
              <w:rPr>
                <w:sz w:val="20"/>
                <w:szCs w:val="20"/>
              </w:rPr>
              <w:t xml:space="preserve">0% nonmetro counties </w:t>
            </w:r>
          </w:p>
        </w:tc>
        <w:tc>
          <w:tcPr>
            <w:tcW w:w="540" w:type="dxa"/>
            <w:tcBorders>
              <w:right w:val="nil"/>
            </w:tcBorders>
          </w:tcPr>
          <w:p w:rsidR="00E9522B" w:rsidRPr="006C751E" w:rsidRDefault="00E9522B" w:rsidP="0001200B">
            <w:pPr>
              <w:jc w:val="right"/>
              <w:rPr>
                <w:sz w:val="20"/>
                <w:szCs w:val="20"/>
              </w:rPr>
            </w:pPr>
            <w:r w:rsidRPr="006C751E">
              <w:rPr>
                <w:sz w:val="20"/>
                <w:szCs w:val="20"/>
              </w:rPr>
              <w:t>172</w:t>
            </w:r>
          </w:p>
        </w:tc>
        <w:tc>
          <w:tcPr>
            <w:tcW w:w="720" w:type="dxa"/>
            <w:tcBorders>
              <w:left w:val="nil"/>
            </w:tcBorders>
          </w:tcPr>
          <w:p w:rsidR="00E9522B" w:rsidRPr="006C751E" w:rsidRDefault="00E9522B" w:rsidP="0001200B">
            <w:pPr>
              <w:jc w:val="right"/>
              <w:rPr>
                <w:sz w:val="20"/>
                <w:szCs w:val="20"/>
              </w:rPr>
            </w:pPr>
            <w:r w:rsidRPr="006C751E">
              <w:rPr>
                <w:sz w:val="20"/>
                <w:szCs w:val="20"/>
              </w:rPr>
              <w:t>81.5%</w:t>
            </w:r>
          </w:p>
        </w:tc>
        <w:tc>
          <w:tcPr>
            <w:tcW w:w="599" w:type="dxa"/>
            <w:tcBorders>
              <w:right w:val="nil"/>
            </w:tcBorders>
          </w:tcPr>
          <w:p w:rsidR="00E9522B" w:rsidRPr="006C751E" w:rsidRDefault="00E9522B" w:rsidP="0001200B">
            <w:pPr>
              <w:jc w:val="right"/>
              <w:rPr>
                <w:sz w:val="20"/>
                <w:szCs w:val="20"/>
              </w:rPr>
            </w:pPr>
            <w:r w:rsidRPr="006C751E">
              <w:rPr>
                <w:sz w:val="20"/>
                <w:szCs w:val="20"/>
              </w:rPr>
              <w:t>3</w:t>
            </w:r>
          </w:p>
        </w:tc>
        <w:tc>
          <w:tcPr>
            <w:tcW w:w="620" w:type="dxa"/>
            <w:tcBorders>
              <w:left w:val="nil"/>
            </w:tcBorders>
          </w:tcPr>
          <w:p w:rsidR="00E9522B" w:rsidRPr="006C751E" w:rsidRDefault="00E9522B" w:rsidP="0001200B">
            <w:pPr>
              <w:jc w:val="right"/>
              <w:rPr>
                <w:sz w:val="20"/>
                <w:szCs w:val="20"/>
              </w:rPr>
            </w:pPr>
            <w:r w:rsidRPr="006C751E">
              <w:rPr>
                <w:sz w:val="20"/>
                <w:szCs w:val="20"/>
              </w:rPr>
              <w:t>1.4%</w:t>
            </w:r>
          </w:p>
        </w:tc>
        <w:tc>
          <w:tcPr>
            <w:tcW w:w="611" w:type="dxa"/>
            <w:tcBorders>
              <w:right w:val="nil"/>
            </w:tcBorders>
          </w:tcPr>
          <w:p w:rsidR="00E9522B" w:rsidRPr="006C751E" w:rsidRDefault="00E9522B" w:rsidP="0001200B">
            <w:pPr>
              <w:jc w:val="right"/>
              <w:rPr>
                <w:sz w:val="20"/>
                <w:szCs w:val="20"/>
              </w:rPr>
            </w:pPr>
            <w:r w:rsidRPr="006C751E">
              <w:rPr>
                <w:sz w:val="20"/>
                <w:szCs w:val="20"/>
              </w:rPr>
              <w:t>14</w:t>
            </w:r>
          </w:p>
        </w:tc>
        <w:tc>
          <w:tcPr>
            <w:tcW w:w="620" w:type="dxa"/>
            <w:tcBorders>
              <w:left w:val="nil"/>
            </w:tcBorders>
          </w:tcPr>
          <w:p w:rsidR="00E9522B" w:rsidRPr="006C751E" w:rsidRDefault="00E9522B" w:rsidP="0001200B">
            <w:pPr>
              <w:jc w:val="right"/>
              <w:rPr>
                <w:sz w:val="20"/>
                <w:szCs w:val="20"/>
              </w:rPr>
            </w:pPr>
            <w:r w:rsidRPr="006C751E">
              <w:rPr>
                <w:sz w:val="20"/>
                <w:szCs w:val="20"/>
              </w:rPr>
              <w:t>6.6%</w:t>
            </w:r>
          </w:p>
        </w:tc>
        <w:tc>
          <w:tcPr>
            <w:tcW w:w="611" w:type="dxa"/>
            <w:tcBorders>
              <w:right w:val="nil"/>
            </w:tcBorders>
          </w:tcPr>
          <w:p w:rsidR="00E9522B" w:rsidRPr="006C751E" w:rsidRDefault="00E9522B" w:rsidP="0001200B">
            <w:pPr>
              <w:jc w:val="right"/>
              <w:rPr>
                <w:sz w:val="20"/>
                <w:szCs w:val="20"/>
              </w:rPr>
            </w:pPr>
            <w:r w:rsidRPr="006C751E">
              <w:rPr>
                <w:sz w:val="20"/>
                <w:szCs w:val="20"/>
              </w:rPr>
              <w:t>22</w:t>
            </w:r>
          </w:p>
        </w:tc>
        <w:tc>
          <w:tcPr>
            <w:tcW w:w="714" w:type="dxa"/>
            <w:tcBorders>
              <w:left w:val="nil"/>
            </w:tcBorders>
          </w:tcPr>
          <w:p w:rsidR="00E9522B" w:rsidRPr="006C751E" w:rsidRDefault="00E9522B" w:rsidP="0001200B">
            <w:pPr>
              <w:jc w:val="right"/>
              <w:rPr>
                <w:sz w:val="20"/>
                <w:szCs w:val="20"/>
              </w:rPr>
            </w:pPr>
            <w:r w:rsidRPr="006C751E">
              <w:rPr>
                <w:sz w:val="20"/>
                <w:szCs w:val="20"/>
              </w:rPr>
              <w:t>10.4%</w:t>
            </w:r>
          </w:p>
        </w:tc>
      </w:tr>
    </w:tbl>
    <w:p w:rsidR="00CF3D1F" w:rsidRPr="00CF3D1F" w:rsidRDefault="00CF3D1F" w:rsidP="00CF3D1F">
      <w:pPr>
        <w:rPr>
          <w:sz w:val="20"/>
          <w:szCs w:val="20"/>
        </w:rPr>
      </w:pPr>
      <w:r w:rsidRPr="00CF3D1F">
        <w:rPr>
          <w:sz w:val="20"/>
          <w:szCs w:val="20"/>
        </w:rPr>
        <w:t>Source: RUPRI Center for Rural Health Policy Analysis database on ACO provider locations</w:t>
      </w:r>
      <w:r>
        <w:rPr>
          <w:sz w:val="20"/>
          <w:szCs w:val="20"/>
        </w:rPr>
        <w:t>.</w:t>
      </w:r>
    </w:p>
    <w:p w:rsidR="0062111D" w:rsidRPr="00061000" w:rsidRDefault="0062111D" w:rsidP="00CF3D1F">
      <w:pPr>
        <w:spacing w:after="0" w:line="276" w:lineRule="auto"/>
        <w:rPr>
          <w:sz w:val="24"/>
          <w:szCs w:val="24"/>
        </w:rPr>
      </w:pPr>
    </w:p>
    <w:p w:rsidR="00E9522B" w:rsidRDefault="00E9522B" w:rsidP="00061000">
      <w:pPr>
        <w:spacing w:after="0" w:line="276" w:lineRule="auto"/>
        <w:ind w:firstLine="440"/>
        <w:rPr>
          <w:sz w:val="24"/>
          <w:szCs w:val="24"/>
        </w:rPr>
      </w:pPr>
    </w:p>
    <w:p w:rsidR="00E9522B" w:rsidRDefault="00E9522B">
      <w:pPr>
        <w:rPr>
          <w:sz w:val="24"/>
          <w:szCs w:val="24"/>
        </w:rPr>
      </w:pPr>
      <w:r>
        <w:rPr>
          <w:sz w:val="24"/>
          <w:szCs w:val="24"/>
        </w:rPr>
        <w:br w:type="page"/>
      </w:r>
    </w:p>
    <w:p w:rsidR="00E9522B" w:rsidRPr="00FC514A" w:rsidRDefault="00E9522B" w:rsidP="00E9522B">
      <w:pPr>
        <w:rPr>
          <w:b/>
        </w:rPr>
      </w:pPr>
      <w:r w:rsidRPr="00FC514A">
        <w:rPr>
          <w:b/>
        </w:rPr>
        <w:t xml:space="preserve">Table </w:t>
      </w:r>
      <w:r>
        <w:rPr>
          <w:b/>
        </w:rPr>
        <w:t>4</w:t>
      </w:r>
      <w:r w:rsidRPr="00FC514A">
        <w:rPr>
          <w:b/>
        </w:rPr>
        <w:t xml:space="preserve">: Medicare ACO </w:t>
      </w:r>
      <w:r>
        <w:rPr>
          <w:b/>
        </w:rPr>
        <w:t>Characteristics</w:t>
      </w:r>
      <w:r w:rsidRPr="00FC514A">
        <w:rPr>
          <w:b/>
        </w:rPr>
        <w:t xml:space="preserve"> </w:t>
      </w:r>
    </w:p>
    <w:tbl>
      <w:tblPr>
        <w:tblStyle w:val="TableGrid"/>
        <w:tblW w:w="9895" w:type="dxa"/>
        <w:tblLayout w:type="fixed"/>
        <w:tblLook w:val="04A0" w:firstRow="1" w:lastRow="0" w:firstColumn="1" w:lastColumn="0" w:noHBand="0" w:noVBand="1"/>
      </w:tblPr>
      <w:tblGrid>
        <w:gridCol w:w="2245"/>
        <w:gridCol w:w="637"/>
        <w:gridCol w:w="638"/>
        <w:gridCol w:w="637"/>
        <w:gridCol w:w="638"/>
        <w:gridCol w:w="637"/>
        <w:gridCol w:w="638"/>
        <w:gridCol w:w="637"/>
        <w:gridCol w:w="638"/>
        <w:gridCol w:w="637"/>
        <w:gridCol w:w="638"/>
        <w:gridCol w:w="637"/>
        <w:gridCol w:w="638"/>
      </w:tblGrid>
      <w:tr w:rsidR="00E9522B" w:rsidRPr="009D5F7E" w:rsidTr="0001200B">
        <w:tc>
          <w:tcPr>
            <w:tcW w:w="2245" w:type="dxa"/>
            <w:vMerge w:val="restart"/>
          </w:tcPr>
          <w:p w:rsidR="00E9522B" w:rsidRPr="009D5F7E" w:rsidRDefault="00E9522B" w:rsidP="0001200B">
            <w:pPr>
              <w:tabs>
                <w:tab w:val="left" w:pos="337"/>
              </w:tabs>
              <w:jc w:val="center"/>
              <w:rPr>
                <w:b/>
                <w:sz w:val="18"/>
                <w:szCs w:val="18"/>
              </w:rPr>
            </w:pPr>
          </w:p>
          <w:p w:rsidR="00E9522B" w:rsidRPr="009D5F7E" w:rsidRDefault="00E9522B" w:rsidP="0001200B">
            <w:pPr>
              <w:tabs>
                <w:tab w:val="left" w:pos="337"/>
              </w:tabs>
              <w:jc w:val="center"/>
              <w:rPr>
                <w:b/>
                <w:sz w:val="18"/>
                <w:szCs w:val="18"/>
              </w:rPr>
            </w:pPr>
          </w:p>
          <w:p w:rsidR="00E9522B" w:rsidRPr="009D5F7E" w:rsidRDefault="00E9522B" w:rsidP="0001200B">
            <w:pPr>
              <w:tabs>
                <w:tab w:val="left" w:pos="337"/>
              </w:tabs>
              <w:jc w:val="center"/>
              <w:rPr>
                <w:b/>
                <w:sz w:val="18"/>
                <w:szCs w:val="18"/>
              </w:rPr>
            </w:pPr>
            <w:r w:rsidRPr="009D5F7E">
              <w:rPr>
                <w:b/>
                <w:sz w:val="18"/>
                <w:szCs w:val="18"/>
              </w:rPr>
              <w:t>Characteristic</w:t>
            </w:r>
          </w:p>
        </w:tc>
        <w:tc>
          <w:tcPr>
            <w:tcW w:w="1275" w:type="dxa"/>
            <w:gridSpan w:val="2"/>
            <w:tcBorders>
              <w:bottom w:val="single" w:sz="4" w:space="0" w:color="auto"/>
            </w:tcBorders>
            <w:vAlign w:val="bottom"/>
          </w:tcPr>
          <w:p w:rsidR="00E9522B" w:rsidRPr="009D5F7E" w:rsidRDefault="00E9522B" w:rsidP="0001200B">
            <w:pPr>
              <w:jc w:val="center"/>
              <w:rPr>
                <w:b/>
                <w:sz w:val="18"/>
                <w:szCs w:val="18"/>
              </w:rPr>
            </w:pPr>
            <w:r w:rsidRPr="009D5F7E">
              <w:rPr>
                <w:b/>
                <w:sz w:val="18"/>
                <w:szCs w:val="18"/>
              </w:rPr>
              <w:t>Non-Metro</w:t>
            </w:r>
          </w:p>
        </w:tc>
        <w:tc>
          <w:tcPr>
            <w:tcW w:w="1275" w:type="dxa"/>
            <w:gridSpan w:val="2"/>
            <w:tcBorders>
              <w:bottom w:val="single" w:sz="4" w:space="0" w:color="auto"/>
            </w:tcBorders>
            <w:vAlign w:val="bottom"/>
          </w:tcPr>
          <w:p w:rsidR="00E9522B" w:rsidRPr="009D5F7E" w:rsidRDefault="00E9522B" w:rsidP="0001200B">
            <w:pPr>
              <w:jc w:val="center"/>
              <w:rPr>
                <w:b/>
                <w:sz w:val="18"/>
                <w:szCs w:val="18"/>
              </w:rPr>
            </w:pPr>
            <w:r w:rsidRPr="009D5F7E">
              <w:rPr>
                <w:b/>
                <w:sz w:val="18"/>
                <w:szCs w:val="18"/>
              </w:rPr>
              <w:t>Mostly non-Metro</w:t>
            </w:r>
          </w:p>
        </w:tc>
        <w:tc>
          <w:tcPr>
            <w:tcW w:w="1275" w:type="dxa"/>
            <w:gridSpan w:val="2"/>
            <w:tcBorders>
              <w:bottom w:val="single" w:sz="4" w:space="0" w:color="auto"/>
            </w:tcBorders>
            <w:vAlign w:val="bottom"/>
          </w:tcPr>
          <w:p w:rsidR="00E9522B" w:rsidRPr="009D5F7E" w:rsidRDefault="00E9522B" w:rsidP="0001200B">
            <w:pPr>
              <w:jc w:val="center"/>
              <w:rPr>
                <w:b/>
                <w:sz w:val="18"/>
                <w:szCs w:val="18"/>
              </w:rPr>
            </w:pPr>
            <w:r w:rsidRPr="009D5F7E">
              <w:rPr>
                <w:b/>
                <w:sz w:val="18"/>
                <w:szCs w:val="18"/>
              </w:rPr>
              <w:t>Mixed</w:t>
            </w:r>
          </w:p>
        </w:tc>
        <w:tc>
          <w:tcPr>
            <w:tcW w:w="1275" w:type="dxa"/>
            <w:gridSpan w:val="2"/>
            <w:tcBorders>
              <w:bottom w:val="single" w:sz="4" w:space="0" w:color="auto"/>
            </w:tcBorders>
            <w:vAlign w:val="bottom"/>
          </w:tcPr>
          <w:p w:rsidR="00E9522B" w:rsidRPr="009D5F7E" w:rsidRDefault="00E9522B" w:rsidP="0001200B">
            <w:pPr>
              <w:jc w:val="center"/>
              <w:rPr>
                <w:b/>
                <w:sz w:val="18"/>
                <w:szCs w:val="18"/>
              </w:rPr>
            </w:pPr>
            <w:r w:rsidRPr="009D5F7E">
              <w:rPr>
                <w:b/>
                <w:sz w:val="18"/>
                <w:szCs w:val="18"/>
              </w:rPr>
              <w:t>Mostly Metro</w:t>
            </w:r>
          </w:p>
        </w:tc>
        <w:tc>
          <w:tcPr>
            <w:tcW w:w="1275" w:type="dxa"/>
            <w:gridSpan w:val="2"/>
            <w:tcBorders>
              <w:bottom w:val="single" w:sz="4" w:space="0" w:color="auto"/>
            </w:tcBorders>
            <w:vAlign w:val="bottom"/>
          </w:tcPr>
          <w:p w:rsidR="00E9522B" w:rsidRPr="009D5F7E" w:rsidRDefault="00E9522B" w:rsidP="0001200B">
            <w:pPr>
              <w:jc w:val="center"/>
              <w:rPr>
                <w:b/>
                <w:sz w:val="18"/>
                <w:szCs w:val="18"/>
              </w:rPr>
            </w:pPr>
            <w:r w:rsidRPr="009D5F7E">
              <w:rPr>
                <w:b/>
                <w:sz w:val="18"/>
                <w:szCs w:val="18"/>
              </w:rPr>
              <w:t>Metropol.</w:t>
            </w:r>
          </w:p>
        </w:tc>
        <w:tc>
          <w:tcPr>
            <w:tcW w:w="1275" w:type="dxa"/>
            <w:gridSpan w:val="2"/>
            <w:tcBorders>
              <w:bottom w:val="single" w:sz="4" w:space="0" w:color="auto"/>
            </w:tcBorders>
            <w:vAlign w:val="bottom"/>
          </w:tcPr>
          <w:p w:rsidR="00E9522B" w:rsidRPr="009D5F7E" w:rsidRDefault="00E9522B" w:rsidP="0001200B">
            <w:pPr>
              <w:jc w:val="center"/>
              <w:rPr>
                <w:b/>
                <w:sz w:val="18"/>
                <w:szCs w:val="18"/>
              </w:rPr>
            </w:pPr>
            <w:r w:rsidRPr="009D5F7E">
              <w:rPr>
                <w:b/>
                <w:sz w:val="18"/>
                <w:szCs w:val="18"/>
              </w:rPr>
              <w:t>Total</w:t>
            </w:r>
          </w:p>
        </w:tc>
      </w:tr>
      <w:tr w:rsidR="00E9522B" w:rsidRPr="009D5F7E" w:rsidTr="0001200B">
        <w:tc>
          <w:tcPr>
            <w:tcW w:w="2245" w:type="dxa"/>
            <w:vMerge/>
            <w:tcBorders>
              <w:bottom w:val="double" w:sz="4" w:space="0" w:color="auto"/>
            </w:tcBorders>
          </w:tcPr>
          <w:p w:rsidR="00E9522B" w:rsidRPr="009D5F7E" w:rsidRDefault="00E9522B" w:rsidP="0001200B">
            <w:pPr>
              <w:tabs>
                <w:tab w:val="left" w:pos="337"/>
              </w:tabs>
              <w:jc w:val="center"/>
              <w:rPr>
                <w:b/>
                <w:sz w:val="18"/>
                <w:szCs w:val="18"/>
              </w:rPr>
            </w:pPr>
          </w:p>
        </w:tc>
        <w:tc>
          <w:tcPr>
            <w:tcW w:w="637" w:type="dxa"/>
            <w:tcBorders>
              <w:top w:val="single" w:sz="4" w:space="0" w:color="auto"/>
              <w:bottom w:val="double" w:sz="4" w:space="0" w:color="auto"/>
              <w:right w:val="nil"/>
            </w:tcBorders>
          </w:tcPr>
          <w:p w:rsidR="00E9522B" w:rsidRPr="009D5F7E" w:rsidRDefault="00E9522B" w:rsidP="0001200B">
            <w:pPr>
              <w:jc w:val="center"/>
              <w:rPr>
                <w:b/>
                <w:sz w:val="18"/>
                <w:szCs w:val="18"/>
              </w:rPr>
            </w:pPr>
            <w:r w:rsidRPr="009D5F7E">
              <w:rPr>
                <w:b/>
                <w:sz w:val="18"/>
                <w:szCs w:val="18"/>
              </w:rPr>
              <w:t>Ct</w:t>
            </w:r>
          </w:p>
        </w:tc>
        <w:tc>
          <w:tcPr>
            <w:tcW w:w="638" w:type="dxa"/>
            <w:tcBorders>
              <w:top w:val="single" w:sz="4" w:space="0" w:color="auto"/>
              <w:left w:val="nil"/>
              <w:bottom w:val="double" w:sz="4" w:space="0" w:color="auto"/>
            </w:tcBorders>
          </w:tcPr>
          <w:p w:rsidR="00E9522B" w:rsidRPr="009D5F7E" w:rsidRDefault="00E9522B" w:rsidP="0001200B">
            <w:pPr>
              <w:jc w:val="center"/>
              <w:rPr>
                <w:b/>
                <w:sz w:val="18"/>
                <w:szCs w:val="18"/>
              </w:rPr>
            </w:pPr>
            <w:r w:rsidRPr="009D5F7E">
              <w:rPr>
                <w:b/>
                <w:sz w:val="18"/>
                <w:szCs w:val="18"/>
              </w:rPr>
              <w:t>Pct</w:t>
            </w:r>
          </w:p>
        </w:tc>
        <w:tc>
          <w:tcPr>
            <w:tcW w:w="637" w:type="dxa"/>
            <w:tcBorders>
              <w:top w:val="single" w:sz="4" w:space="0" w:color="auto"/>
              <w:bottom w:val="double" w:sz="4" w:space="0" w:color="auto"/>
              <w:right w:val="nil"/>
            </w:tcBorders>
          </w:tcPr>
          <w:p w:rsidR="00E9522B" w:rsidRPr="009D5F7E" w:rsidRDefault="00E9522B" w:rsidP="0001200B">
            <w:pPr>
              <w:jc w:val="center"/>
              <w:rPr>
                <w:b/>
                <w:sz w:val="18"/>
                <w:szCs w:val="18"/>
              </w:rPr>
            </w:pPr>
            <w:r w:rsidRPr="009D5F7E">
              <w:rPr>
                <w:b/>
                <w:sz w:val="18"/>
                <w:szCs w:val="18"/>
              </w:rPr>
              <w:t>Ct</w:t>
            </w:r>
          </w:p>
        </w:tc>
        <w:tc>
          <w:tcPr>
            <w:tcW w:w="638" w:type="dxa"/>
            <w:tcBorders>
              <w:top w:val="single" w:sz="4" w:space="0" w:color="auto"/>
              <w:left w:val="nil"/>
              <w:bottom w:val="double" w:sz="4" w:space="0" w:color="auto"/>
            </w:tcBorders>
          </w:tcPr>
          <w:p w:rsidR="00E9522B" w:rsidRPr="009D5F7E" w:rsidRDefault="00E9522B" w:rsidP="0001200B">
            <w:pPr>
              <w:jc w:val="center"/>
              <w:rPr>
                <w:b/>
                <w:sz w:val="18"/>
                <w:szCs w:val="18"/>
              </w:rPr>
            </w:pPr>
            <w:r w:rsidRPr="009D5F7E">
              <w:rPr>
                <w:b/>
                <w:sz w:val="18"/>
                <w:szCs w:val="18"/>
              </w:rPr>
              <w:t>Pct</w:t>
            </w:r>
          </w:p>
        </w:tc>
        <w:tc>
          <w:tcPr>
            <w:tcW w:w="637" w:type="dxa"/>
            <w:tcBorders>
              <w:top w:val="single" w:sz="4" w:space="0" w:color="auto"/>
              <w:bottom w:val="double" w:sz="4" w:space="0" w:color="auto"/>
              <w:right w:val="nil"/>
            </w:tcBorders>
          </w:tcPr>
          <w:p w:rsidR="00E9522B" w:rsidRPr="009D5F7E" w:rsidRDefault="00E9522B" w:rsidP="0001200B">
            <w:pPr>
              <w:jc w:val="center"/>
              <w:rPr>
                <w:b/>
                <w:sz w:val="18"/>
                <w:szCs w:val="18"/>
              </w:rPr>
            </w:pPr>
            <w:r w:rsidRPr="009D5F7E">
              <w:rPr>
                <w:b/>
                <w:sz w:val="18"/>
                <w:szCs w:val="18"/>
              </w:rPr>
              <w:t>Ct</w:t>
            </w:r>
          </w:p>
        </w:tc>
        <w:tc>
          <w:tcPr>
            <w:tcW w:w="638" w:type="dxa"/>
            <w:tcBorders>
              <w:top w:val="single" w:sz="4" w:space="0" w:color="auto"/>
              <w:left w:val="nil"/>
              <w:bottom w:val="double" w:sz="4" w:space="0" w:color="auto"/>
            </w:tcBorders>
          </w:tcPr>
          <w:p w:rsidR="00E9522B" w:rsidRPr="009D5F7E" w:rsidRDefault="00E9522B" w:rsidP="0001200B">
            <w:pPr>
              <w:jc w:val="center"/>
              <w:rPr>
                <w:b/>
                <w:sz w:val="18"/>
                <w:szCs w:val="18"/>
              </w:rPr>
            </w:pPr>
            <w:r w:rsidRPr="009D5F7E">
              <w:rPr>
                <w:b/>
                <w:sz w:val="18"/>
                <w:szCs w:val="18"/>
              </w:rPr>
              <w:t>Pct</w:t>
            </w:r>
          </w:p>
        </w:tc>
        <w:tc>
          <w:tcPr>
            <w:tcW w:w="637" w:type="dxa"/>
            <w:tcBorders>
              <w:top w:val="single" w:sz="4" w:space="0" w:color="auto"/>
              <w:bottom w:val="double" w:sz="4" w:space="0" w:color="auto"/>
              <w:right w:val="nil"/>
            </w:tcBorders>
          </w:tcPr>
          <w:p w:rsidR="00E9522B" w:rsidRPr="009D5F7E" w:rsidRDefault="00E9522B" w:rsidP="0001200B">
            <w:pPr>
              <w:jc w:val="center"/>
              <w:rPr>
                <w:b/>
                <w:sz w:val="18"/>
                <w:szCs w:val="18"/>
              </w:rPr>
            </w:pPr>
            <w:r w:rsidRPr="009D5F7E">
              <w:rPr>
                <w:b/>
                <w:sz w:val="18"/>
                <w:szCs w:val="18"/>
              </w:rPr>
              <w:t>Ct</w:t>
            </w:r>
          </w:p>
        </w:tc>
        <w:tc>
          <w:tcPr>
            <w:tcW w:w="638" w:type="dxa"/>
            <w:tcBorders>
              <w:top w:val="single" w:sz="4" w:space="0" w:color="auto"/>
              <w:left w:val="nil"/>
              <w:bottom w:val="double" w:sz="4" w:space="0" w:color="auto"/>
            </w:tcBorders>
          </w:tcPr>
          <w:p w:rsidR="00E9522B" w:rsidRPr="009D5F7E" w:rsidRDefault="00E9522B" w:rsidP="0001200B">
            <w:pPr>
              <w:jc w:val="center"/>
              <w:rPr>
                <w:b/>
                <w:sz w:val="18"/>
                <w:szCs w:val="18"/>
              </w:rPr>
            </w:pPr>
            <w:r w:rsidRPr="009D5F7E">
              <w:rPr>
                <w:b/>
                <w:sz w:val="18"/>
                <w:szCs w:val="18"/>
              </w:rPr>
              <w:t>Pct</w:t>
            </w:r>
          </w:p>
        </w:tc>
        <w:tc>
          <w:tcPr>
            <w:tcW w:w="637" w:type="dxa"/>
            <w:tcBorders>
              <w:top w:val="single" w:sz="4" w:space="0" w:color="auto"/>
              <w:left w:val="nil"/>
              <w:bottom w:val="double" w:sz="4" w:space="0" w:color="auto"/>
              <w:right w:val="nil"/>
            </w:tcBorders>
          </w:tcPr>
          <w:p w:rsidR="00E9522B" w:rsidRPr="009D5F7E" w:rsidRDefault="00E9522B" w:rsidP="0001200B">
            <w:pPr>
              <w:jc w:val="center"/>
              <w:rPr>
                <w:b/>
                <w:sz w:val="18"/>
                <w:szCs w:val="18"/>
              </w:rPr>
            </w:pPr>
            <w:r w:rsidRPr="009D5F7E">
              <w:rPr>
                <w:b/>
                <w:sz w:val="18"/>
                <w:szCs w:val="18"/>
              </w:rPr>
              <w:t>Ct</w:t>
            </w:r>
          </w:p>
        </w:tc>
        <w:tc>
          <w:tcPr>
            <w:tcW w:w="638" w:type="dxa"/>
            <w:tcBorders>
              <w:top w:val="single" w:sz="4" w:space="0" w:color="auto"/>
              <w:left w:val="nil"/>
              <w:bottom w:val="double" w:sz="4" w:space="0" w:color="auto"/>
            </w:tcBorders>
          </w:tcPr>
          <w:p w:rsidR="00E9522B" w:rsidRPr="009D5F7E" w:rsidRDefault="00E9522B" w:rsidP="0001200B">
            <w:pPr>
              <w:jc w:val="center"/>
              <w:rPr>
                <w:b/>
                <w:sz w:val="18"/>
                <w:szCs w:val="18"/>
              </w:rPr>
            </w:pPr>
            <w:r w:rsidRPr="009D5F7E">
              <w:rPr>
                <w:b/>
                <w:sz w:val="18"/>
                <w:szCs w:val="18"/>
              </w:rPr>
              <w:t>Pct</w:t>
            </w:r>
          </w:p>
        </w:tc>
        <w:tc>
          <w:tcPr>
            <w:tcW w:w="637" w:type="dxa"/>
            <w:tcBorders>
              <w:top w:val="single" w:sz="4" w:space="0" w:color="auto"/>
              <w:left w:val="nil"/>
              <w:bottom w:val="double" w:sz="4" w:space="0" w:color="auto"/>
              <w:right w:val="nil"/>
            </w:tcBorders>
          </w:tcPr>
          <w:p w:rsidR="00E9522B" w:rsidRPr="009D5F7E" w:rsidRDefault="00E9522B" w:rsidP="0001200B">
            <w:pPr>
              <w:jc w:val="center"/>
              <w:rPr>
                <w:b/>
                <w:sz w:val="18"/>
                <w:szCs w:val="18"/>
              </w:rPr>
            </w:pPr>
            <w:r w:rsidRPr="009D5F7E">
              <w:rPr>
                <w:b/>
                <w:sz w:val="18"/>
                <w:szCs w:val="18"/>
              </w:rPr>
              <w:t>Ct</w:t>
            </w:r>
          </w:p>
        </w:tc>
        <w:tc>
          <w:tcPr>
            <w:tcW w:w="638" w:type="dxa"/>
            <w:tcBorders>
              <w:top w:val="single" w:sz="4" w:space="0" w:color="auto"/>
              <w:left w:val="nil"/>
              <w:bottom w:val="double" w:sz="4" w:space="0" w:color="auto"/>
            </w:tcBorders>
          </w:tcPr>
          <w:p w:rsidR="00E9522B" w:rsidRPr="009D5F7E" w:rsidRDefault="00E9522B" w:rsidP="0001200B">
            <w:pPr>
              <w:jc w:val="center"/>
              <w:rPr>
                <w:b/>
                <w:sz w:val="18"/>
                <w:szCs w:val="18"/>
              </w:rPr>
            </w:pPr>
            <w:r w:rsidRPr="009D5F7E">
              <w:rPr>
                <w:b/>
                <w:sz w:val="18"/>
                <w:szCs w:val="18"/>
              </w:rPr>
              <w:t>Pct</w:t>
            </w:r>
          </w:p>
        </w:tc>
      </w:tr>
      <w:tr w:rsidR="00E9522B" w:rsidRPr="009D5F7E" w:rsidTr="0001200B">
        <w:tc>
          <w:tcPr>
            <w:tcW w:w="9895" w:type="dxa"/>
            <w:gridSpan w:val="13"/>
            <w:tcBorders>
              <w:top w:val="double" w:sz="4" w:space="0" w:color="auto"/>
            </w:tcBorders>
          </w:tcPr>
          <w:p w:rsidR="00E9522B" w:rsidRPr="009D5F7E" w:rsidRDefault="00E9522B" w:rsidP="0001200B">
            <w:pPr>
              <w:tabs>
                <w:tab w:val="left" w:pos="337"/>
              </w:tabs>
              <w:rPr>
                <w:sz w:val="18"/>
                <w:szCs w:val="18"/>
              </w:rPr>
            </w:pPr>
            <w:r w:rsidRPr="009D5F7E">
              <w:rPr>
                <w:sz w:val="18"/>
                <w:szCs w:val="18"/>
              </w:rPr>
              <w:t>ACO “For Profit” Status</w:t>
            </w:r>
          </w:p>
        </w:tc>
      </w:tr>
      <w:tr w:rsidR="00E9522B" w:rsidRPr="009D5F7E" w:rsidTr="0001200B">
        <w:tc>
          <w:tcPr>
            <w:tcW w:w="2245" w:type="dxa"/>
          </w:tcPr>
          <w:p w:rsidR="00E9522B" w:rsidRPr="009D5F7E" w:rsidRDefault="00E9522B" w:rsidP="0001200B">
            <w:pPr>
              <w:tabs>
                <w:tab w:val="left" w:pos="337"/>
              </w:tabs>
              <w:rPr>
                <w:sz w:val="18"/>
                <w:szCs w:val="18"/>
              </w:rPr>
            </w:pPr>
            <w:r w:rsidRPr="009D5F7E">
              <w:rPr>
                <w:sz w:val="18"/>
                <w:szCs w:val="18"/>
              </w:rPr>
              <w:tab/>
              <w:t>For-profit</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18</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45.0%</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15</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32.6%</w:t>
            </w:r>
          </w:p>
        </w:tc>
        <w:tc>
          <w:tcPr>
            <w:tcW w:w="637" w:type="dxa"/>
            <w:tcBorders>
              <w:left w:val="nil"/>
              <w:right w:val="nil"/>
            </w:tcBorders>
            <w:tcMar>
              <w:left w:w="43" w:type="dxa"/>
              <w:right w:w="43" w:type="dxa"/>
            </w:tcMar>
            <w:vAlign w:val="center"/>
          </w:tcPr>
          <w:p w:rsidR="00E9522B" w:rsidRPr="009D5F7E" w:rsidRDefault="00E9522B" w:rsidP="0001200B">
            <w:pPr>
              <w:jc w:val="right"/>
              <w:rPr>
                <w:sz w:val="18"/>
                <w:szCs w:val="18"/>
              </w:rPr>
            </w:pPr>
            <w:r>
              <w:rPr>
                <w:sz w:val="18"/>
                <w:szCs w:val="18"/>
              </w:rPr>
              <w:t>25</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54.3%</w:t>
            </w:r>
          </w:p>
        </w:tc>
        <w:tc>
          <w:tcPr>
            <w:tcW w:w="637" w:type="dxa"/>
            <w:tcBorders>
              <w:left w:val="nil"/>
              <w:right w:val="nil"/>
            </w:tcBorders>
            <w:tcMar>
              <w:left w:w="43" w:type="dxa"/>
              <w:right w:w="43" w:type="dxa"/>
            </w:tcMar>
            <w:vAlign w:val="center"/>
          </w:tcPr>
          <w:p w:rsidR="00E9522B" w:rsidRPr="009D5F7E" w:rsidRDefault="00E9522B" w:rsidP="0001200B">
            <w:pPr>
              <w:jc w:val="right"/>
              <w:rPr>
                <w:sz w:val="18"/>
                <w:szCs w:val="18"/>
              </w:rPr>
            </w:pPr>
            <w:r>
              <w:rPr>
                <w:sz w:val="18"/>
                <w:szCs w:val="18"/>
              </w:rPr>
              <w:t>58</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41.1%</w:t>
            </w:r>
          </w:p>
        </w:tc>
      </w:tr>
      <w:tr w:rsidR="00E9522B" w:rsidRPr="009D5F7E" w:rsidTr="0001200B">
        <w:tc>
          <w:tcPr>
            <w:tcW w:w="2245" w:type="dxa"/>
          </w:tcPr>
          <w:p w:rsidR="00E9522B" w:rsidRPr="009D5F7E" w:rsidRDefault="00E9522B" w:rsidP="0001200B">
            <w:pPr>
              <w:tabs>
                <w:tab w:val="left" w:pos="337"/>
              </w:tabs>
              <w:rPr>
                <w:sz w:val="18"/>
                <w:szCs w:val="18"/>
              </w:rPr>
            </w:pPr>
            <w:r w:rsidRPr="009D5F7E">
              <w:rPr>
                <w:sz w:val="18"/>
                <w:szCs w:val="18"/>
              </w:rPr>
              <w:tab/>
              <w:t>Not-for-profit</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9</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100%</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22</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55.0%</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31</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67.4%</w:t>
            </w:r>
          </w:p>
        </w:tc>
        <w:tc>
          <w:tcPr>
            <w:tcW w:w="637" w:type="dxa"/>
            <w:tcBorders>
              <w:left w:val="nil"/>
              <w:right w:val="nil"/>
            </w:tcBorders>
            <w:tcMar>
              <w:left w:w="43" w:type="dxa"/>
              <w:right w:w="43" w:type="dxa"/>
            </w:tcMar>
            <w:vAlign w:val="center"/>
          </w:tcPr>
          <w:p w:rsidR="00E9522B" w:rsidRPr="009D5F7E" w:rsidRDefault="00E9522B" w:rsidP="0001200B">
            <w:pPr>
              <w:jc w:val="right"/>
              <w:rPr>
                <w:sz w:val="18"/>
                <w:szCs w:val="18"/>
              </w:rPr>
            </w:pPr>
            <w:r>
              <w:rPr>
                <w:sz w:val="18"/>
                <w:szCs w:val="18"/>
              </w:rPr>
              <w:t>21</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45.7%</w:t>
            </w:r>
          </w:p>
        </w:tc>
        <w:tc>
          <w:tcPr>
            <w:tcW w:w="637" w:type="dxa"/>
            <w:tcBorders>
              <w:left w:val="nil"/>
              <w:right w:val="nil"/>
            </w:tcBorders>
            <w:tcMar>
              <w:left w:w="43" w:type="dxa"/>
              <w:right w:w="43" w:type="dxa"/>
            </w:tcMar>
            <w:vAlign w:val="center"/>
          </w:tcPr>
          <w:p w:rsidR="00E9522B" w:rsidRPr="009D5F7E" w:rsidRDefault="00E9522B" w:rsidP="0001200B">
            <w:pPr>
              <w:jc w:val="right"/>
              <w:rPr>
                <w:sz w:val="18"/>
                <w:szCs w:val="18"/>
              </w:rPr>
            </w:pPr>
            <w:r>
              <w:rPr>
                <w:sz w:val="18"/>
                <w:szCs w:val="18"/>
              </w:rPr>
              <w:t>83</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58.9%</w:t>
            </w:r>
          </w:p>
        </w:tc>
      </w:tr>
      <w:tr w:rsidR="00E9522B" w:rsidRPr="009D5F7E" w:rsidTr="0001200B">
        <w:tc>
          <w:tcPr>
            <w:tcW w:w="9895" w:type="dxa"/>
            <w:gridSpan w:val="13"/>
            <w:tcMar>
              <w:left w:w="43" w:type="dxa"/>
              <w:right w:w="43" w:type="dxa"/>
            </w:tcMar>
            <w:vAlign w:val="center"/>
          </w:tcPr>
          <w:p w:rsidR="00E9522B" w:rsidRPr="009D5F7E" w:rsidRDefault="00E9522B" w:rsidP="0001200B">
            <w:pPr>
              <w:tabs>
                <w:tab w:val="left" w:pos="337"/>
              </w:tabs>
              <w:rPr>
                <w:sz w:val="18"/>
                <w:szCs w:val="18"/>
              </w:rPr>
            </w:pPr>
            <w:r>
              <w:rPr>
                <w:sz w:val="18"/>
                <w:szCs w:val="18"/>
              </w:rPr>
              <w:t>ACO Taxonomy type</w:t>
            </w:r>
          </w:p>
        </w:tc>
      </w:tr>
      <w:tr w:rsidR="00E9522B" w:rsidRPr="009D5F7E" w:rsidTr="0001200B">
        <w:tc>
          <w:tcPr>
            <w:tcW w:w="2245" w:type="dxa"/>
          </w:tcPr>
          <w:p w:rsidR="00E9522B" w:rsidRPr="009A4562" w:rsidRDefault="00E9522B" w:rsidP="0001200B">
            <w:pPr>
              <w:tabs>
                <w:tab w:val="left" w:pos="337"/>
              </w:tabs>
              <w:rPr>
                <w:sz w:val="18"/>
                <w:szCs w:val="18"/>
              </w:rPr>
            </w:pPr>
            <w:r>
              <w:rPr>
                <w:sz w:val="18"/>
                <w:szCs w:val="18"/>
              </w:rPr>
              <w:tab/>
            </w:r>
            <w:r w:rsidRPr="009A4562">
              <w:rPr>
                <w:sz w:val="18"/>
                <w:szCs w:val="18"/>
              </w:rPr>
              <w:t>Expanded Phys</w:t>
            </w:r>
            <w:r>
              <w:rPr>
                <w:sz w:val="18"/>
                <w:szCs w:val="18"/>
              </w:rPr>
              <w:t>.</w:t>
            </w:r>
            <w:r w:rsidRPr="009A4562">
              <w:rPr>
                <w:sz w:val="18"/>
                <w:szCs w:val="18"/>
              </w:rPr>
              <w:t xml:space="preserve"> Group</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5</w:t>
            </w:r>
          </w:p>
        </w:tc>
        <w:tc>
          <w:tcPr>
            <w:tcW w:w="638" w:type="dxa"/>
            <w:tcBorders>
              <w:left w:val="nil"/>
            </w:tcBorders>
            <w:tcMar>
              <w:left w:w="43" w:type="dxa"/>
              <w:right w:w="43" w:type="dxa"/>
            </w:tcMar>
            <w:vAlign w:val="center"/>
          </w:tcPr>
          <w:p w:rsidR="00E9522B" w:rsidRPr="009D5F7E" w:rsidRDefault="00E9522B" w:rsidP="0001200B">
            <w:pPr>
              <w:tabs>
                <w:tab w:val="left" w:pos="337"/>
              </w:tabs>
              <w:jc w:val="right"/>
              <w:rPr>
                <w:sz w:val="18"/>
                <w:szCs w:val="18"/>
              </w:rPr>
            </w:pPr>
            <w:r>
              <w:rPr>
                <w:sz w:val="18"/>
                <w:szCs w:val="18"/>
              </w:rPr>
              <w:t>26.3%</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22</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25.3%</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23</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26.1%</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30</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20.8%</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80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23.7%</w:t>
            </w:r>
          </w:p>
        </w:tc>
      </w:tr>
      <w:tr w:rsidR="00E9522B" w:rsidRPr="009D5F7E" w:rsidTr="0001200B">
        <w:tc>
          <w:tcPr>
            <w:tcW w:w="2245" w:type="dxa"/>
          </w:tcPr>
          <w:p w:rsidR="00E9522B" w:rsidRPr="009A4562" w:rsidRDefault="00E9522B" w:rsidP="0001200B">
            <w:pPr>
              <w:tabs>
                <w:tab w:val="left" w:pos="337"/>
              </w:tabs>
              <w:rPr>
                <w:sz w:val="18"/>
                <w:szCs w:val="18"/>
              </w:rPr>
            </w:pPr>
            <w:r>
              <w:rPr>
                <w:sz w:val="18"/>
                <w:szCs w:val="18"/>
              </w:rPr>
              <w:tab/>
            </w:r>
            <w:r w:rsidRPr="009A4562">
              <w:rPr>
                <w:sz w:val="18"/>
                <w:szCs w:val="18"/>
              </w:rPr>
              <w:t>Full-Spectrum</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w:t>
            </w:r>
          </w:p>
        </w:tc>
        <w:tc>
          <w:tcPr>
            <w:tcW w:w="638" w:type="dxa"/>
            <w:tcBorders>
              <w:left w:val="nil"/>
            </w:tcBorders>
            <w:tcMar>
              <w:left w:w="43" w:type="dxa"/>
              <w:right w:w="43" w:type="dxa"/>
            </w:tcMar>
            <w:vAlign w:val="center"/>
          </w:tcPr>
          <w:p w:rsidR="00E9522B" w:rsidRPr="009D5F7E" w:rsidRDefault="00E9522B" w:rsidP="0001200B">
            <w:pPr>
              <w:tabs>
                <w:tab w:val="left" w:pos="337"/>
              </w:tabs>
              <w:jc w:val="right"/>
              <w:rPr>
                <w:sz w:val="18"/>
                <w:szCs w:val="18"/>
              </w:rPr>
            </w:pPr>
            <w:r>
              <w:rPr>
                <w:sz w:val="18"/>
                <w:szCs w:val="18"/>
              </w:rPr>
              <w:t>5.3%</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17</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19.5%</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15</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17.1%</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16</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11.1%</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49</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14.5%</w:t>
            </w:r>
          </w:p>
        </w:tc>
      </w:tr>
      <w:tr w:rsidR="00E9522B" w:rsidRPr="009D5F7E" w:rsidTr="0001200B">
        <w:tc>
          <w:tcPr>
            <w:tcW w:w="2245" w:type="dxa"/>
          </w:tcPr>
          <w:p w:rsidR="00E9522B" w:rsidRPr="009A4562" w:rsidRDefault="00E9522B" w:rsidP="0001200B">
            <w:pPr>
              <w:tabs>
                <w:tab w:val="left" w:pos="337"/>
              </w:tabs>
              <w:rPr>
                <w:sz w:val="18"/>
                <w:szCs w:val="18"/>
              </w:rPr>
            </w:pPr>
            <w:r>
              <w:rPr>
                <w:sz w:val="18"/>
                <w:szCs w:val="18"/>
              </w:rPr>
              <w:tab/>
            </w:r>
            <w:r w:rsidRPr="009A4562">
              <w:rPr>
                <w:sz w:val="18"/>
                <w:szCs w:val="18"/>
              </w:rPr>
              <w:t>Hospital Alliance</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2</w:t>
            </w:r>
          </w:p>
        </w:tc>
        <w:tc>
          <w:tcPr>
            <w:tcW w:w="638" w:type="dxa"/>
            <w:tcBorders>
              <w:left w:val="nil"/>
            </w:tcBorders>
            <w:tcMar>
              <w:left w:w="43" w:type="dxa"/>
              <w:right w:w="43" w:type="dxa"/>
            </w:tcMar>
            <w:vAlign w:val="center"/>
          </w:tcPr>
          <w:p w:rsidR="00E9522B" w:rsidRPr="009D5F7E" w:rsidRDefault="00E9522B" w:rsidP="0001200B">
            <w:pPr>
              <w:tabs>
                <w:tab w:val="left" w:pos="337"/>
              </w:tabs>
              <w:jc w:val="right"/>
              <w:rPr>
                <w:sz w:val="18"/>
                <w:szCs w:val="18"/>
              </w:rPr>
            </w:pPr>
            <w:r>
              <w:rPr>
                <w:sz w:val="18"/>
                <w:szCs w:val="18"/>
              </w:rPr>
              <w:t>10.5%</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11</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12.6%</w:t>
            </w:r>
          </w:p>
        </w:tc>
        <w:tc>
          <w:tcPr>
            <w:tcW w:w="637" w:type="dxa"/>
            <w:tcBorders>
              <w:bottom w:val="single" w:sz="4" w:space="0" w:color="auto"/>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13</w:t>
            </w:r>
          </w:p>
        </w:tc>
        <w:tc>
          <w:tcPr>
            <w:tcW w:w="638" w:type="dxa"/>
            <w:tcBorders>
              <w:left w:val="nil"/>
              <w:bottom w:val="single" w:sz="4" w:space="0" w:color="auto"/>
            </w:tcBorders>
            <w:tcMar>
              <w:left w:w="43" w:type="dxa"/>
              <w:right w:w="43" w:type="dxa"/>
            </w:tcMar>
            <w:vAlign w:val="center"/>
          </w:tcPr>
          <w:p w:rsidR="00E9522B" w:rsidRDefault="00E9522B" w:rsidP="0001200B">
            <w:pPr>
              <w:tabs>
                <w:tab w:val="left" w:pos="337"/>
              </w:tabs>
              <w:jc w:val="right"/>
              <w:rPr>
                <w:sz w:val="18"/>
                <w:szCs w:val="18"/>
              </w:rPr>
            </w:pPr>
            <w:r>
              <w:rPr>
                <w:sz w:val="18"/>
                <w:szCs w:val="18"/>
              </w:rPr>
              <w:t>14.8%</w:t>
            </w:r>
          </w:p>
        </w:tc>
        <w:tc>
          <w:tcPr>
            <w:tcW w:w="637" w:type="dxa"/>
            <w:tcBorders>
              <w:left w:val="nil"/>
              <w:bottom w:val="single" w:sz="4" w:space="0" w:color="auto"/>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13</w:t>
            </w:r>
          </w:p>
        </w:tc>
        <w:tc>
          <w:tcPr>
            <w:tcW w:w="638" w:type="dxa"/>
            <w:tcBorders>
              <w:left w:val="nil"/>
              <w:bottom w:val="single" w:sz="4" w:space="0" w:color="auto"/>
            </w:tcBorders>
            <w:tcMar>
              <w:left w:w="43" w:type="dxa"/>
              <w:right w:w="43" w:type="dxa"/>
            </w:tcMar>
            <w:vAlign w:val="center"/>
          </w:tcPr>
          <w:p w:rsidR="00E9522B" w:rsidRDefault="00E9522B" w:rsidP="0001200B">
            <w:pPr>
              <w:tabs>
                <w:tab w:val="left" w:pos="337"/>
              </w:tabs>
              <w:jc w:val="right"/>
              <w:rPr>
                <w:sz w:val="18"/>
                <w:szCs w:val="18"/>
              </w:rPr>
            </w:pPr>
            <w:r>
              <w:rPr>
                <w:sz w:val="18"/>
                <w:szCs w:val="18"/>
              </w:rPr>
              <w:t>9.0%</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39</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11.5%</w:t>
            </w:r>
          </w:p>
        </w:tc>
      </w:tr>
      <w:tr w:rsidR="00E9522B" w:rsidRPr="009D5F7E" w:rsidTr="0001200B">
        <w:tc>
          <w:tcPr>
            <w:tcW w:w="2245" w:type="dxa"/>
          </w:tcPr>
          <w:p w:rsidR="00E9522B" w:rsidRPr="009A4562" w:rsidRDefault="00E9522B" w:rsidP="0001200B">
            <w:pPr>
              <w:tabs>
                <w:tab w:val="left" w:pos="337"/>
              </w:tabs>
              <w:rPr>
                <w:sz w:val="18"/>
                <w:szCs w:val="18"/>
              </w:rPr>
            </w:pPr>
            <w:r>
              <w:rPr>
                <w:sz w:val="18"/>
                <w:szCs w:val="18"/>
              </w:rPr>
              <w:tab/>
            </w:r>
            <w:r w:rsidRPr="009A4562">
              <w:rPr>
                <w:sz w:val="18"/>
                <w:szCs w:val="18"/>
              </w:rPr>
              <w:t>Independent Hospital</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4</w:t>
            </w:r>
          </w:p>
        </w:tc>
        <w:tc>
          <w:tcPr>
            <w:tcW w:w="638" w:type="dxa"/>
            <w:tcBorders>
              <w:left w:val="nil"/>
            </w:tcBorders>
            <w:tcMar>
              <w:left w:w="43" w:type="dxa"/>
              <w:right w:w="43" w:type="dxa"/>
            </w:tcMar>
            <w:vAlign w:val="center"/>
          </w:tcPr>
          <w:p w:rsidR="00E9522B" w:rsidRPr="009D5F7E" w:rsidRDefault="00E9522B" w:rsidP="0001200B">
            <w:pPr>
              <w:tabs>
                <w:tab w:val="left" w:pos="337"/>
              </w:tabs>
              <w:jc w:val="right"/>
              <w:rPr>
                <w:sz w:val="18"/>
                <w:szCs w:val="18"/>
              </w:rPr>
            </w:pPr>
            <w:r>
              <w:rPr>
                <w:sz w:val="18"/>
                <w:szCs w:val="18"/>
              </w:rPr>
              <w:t>21.1%</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8</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9.2%</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10</w:t>
            </w:r>
          </w:p>
        </w:tc>
        <w:tc>
          <w:tcPr>
            <w:tcW w:w="638" w:type="dxa"/>
            <w:tcBorders>
              <w:left w:val="nil"/>
              <w:right w:val="single" w:sz="4" w:space="0" w:color="auto"/>
            </w:tcBorders>
            <w:tcMar>
              <w:left w:w="43" w:type="dxa"/>
              <w:right w:w="43" w:type="dxa"/>
            </w:tcMar>
            <w:vAlign w:val="center"/>
          </w:tcPr>
          <w:p w:rsidR="00E9522B" w:rsidRDefault="00E9522B" w:rsidP="0001200B">
            <w:pPr>
              <w:tabs>
                <w:tab w:val="left" w:pos="337"/>
              </w:tabs>
              <w:jc w:val="right"/>
              <w:rPr>
                <w:sz w:val="18"/>
                <w:szCs w:val="18"/>
              </w:rPr>
            </w:pPr>
            <w:r>
              <w:rPr>
                <w:sz w:val="18"/>
                <w:szCs w:val="18"/>
              </w:rPr>
              <w:t>11.4%</w:t>
            </w:r>
          </w:p>
        </w:tc>
        <w:tc>
          <w:tcPr>
            <w:tcW w:w="637" w:type="dxa"/>
            <w:tcBorders>
              <w:left w:val="single" w:sz="4" w:space="0" w:color="auto"/>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11</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7.6%</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33</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9.8%</w:t>
            </w:r>
          </w:p>
        </w:tc>
      </w:tr>
      <w:tr w:rsidR="00E9522B" w:rsidRPr="009D5F7E" w:rsidTr="0001200B">
        <w:tc>
          <w:tcPr>
            <w:tcW w:w="2245" w:type="dxa"/>
          </w:tcPr>
          <w:p w:rsidR="00E9522B" w:rsidRPr="009A4562" w:rsidRDefault="00E9522B" w:rsidP="0001200B">
            <w:pPr>
              <w:tabs>
                <w:tab w:val="left" w:pos="337"/>
              </w:tabs>
              <w:rPr>
                <w:sz w:val="18"/>
                <w:szCs w:val="18"/>
              </w:rPr>
            </w:pPr>
            <w:r>
              <w:rPr>
                <w:sz w:val="18"/>
                <w:szCs w:val="18"/>
              </w:rPr>
              <w:tab/>
            </w:r>
            <w:r w:rsidRPr="009A4562">
              <w:rPr>
                <w:sz w:val="18"/>
                <w:szCs w:val="18"/>
              </w:rPr>
              <w:t>Indep</w:t>
            </w:r>
            <w:r>
              <w:rPr>
                <w:sz w:val="18"/>
                <w:szCs w:val="18"/>
              </w:rPr>
              <w:t>.</w:t>
            </w:r>
            <w:r w:rsidRPr="009A4562">
              <w:rPr>
                <w:sz w:val="18"/>
                <w:szCs w:val="18"/>
              </w:rPr>
              <w:t xml:space="preserve"> Physician Group</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4</w:t>
            </w:r>
          </w:p>
        </w:tc>
        <w:tc>
          <w:tcPr>
            <w:tcW w:w="638" w:type="dxa"/>
            <w:tcBorders>
              <w:left w:val="nil"/>
            </w:tcBorders>
            <w:tcMar>
              <w:left w:w="43" w:type="dxa"/>
              <w:right w:w="43" w:type="dxa"/>
            </w:tcMar>
            <w:vAlign w:val="center"/>
          </w:tcPr>
          <w:p w:rsidR="00E9522B" w:rsidRPr="009D5F7E" w:rsidRDefault="00E9522B" w:rsidP="0001200B">
            <w:pPr>
              <w:tabs>
                <w:tab w:val="left" w:pos="337"/>
              </w:tabs>
              <w:jc w:val="right"/>
              <w:rPr>
                <w:sz w:val="18"/>
                <w:szCs w:val="18"/>
              </w:rPr>
            </w:pPr>
            <w:r>
              <w:rPr>
                <w:sz w:val="18"/>
                <w:szCs w:val="18"/>
              </w:rPr>
              <w:t>21.1%</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14</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16.1%</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15</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17.1%</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48</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33.3%</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81</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24.0%</w:t>
            </w:r>
          </w:p>
        </w:tc>
      </w:tr>
      <w:tr w:rsidR="00E9522B" w:rsidRPr="009D5F7E" w:rsidTr="0001200B">
        <w:tc>
          <w:tcPr>
            <w:tcW w:w="2245" w:type="dxa"/>
          </w:tcPr>
          <w:p w:rsidR="00E9522B" w:rsidRPr="009A4562" w:rsidRDefault="00E9522B" w:rsidP="0001200B">
            <w:pPr>
              <w:tabs>
                <w:tab w:val="left" w:pos="337"/>
              </w:tabs>
              <w:rPr>
                <w:sz w:val="18"/>
                <w:szCs w:val="18"/>
              </w:rPr>
            </w:pPr>
            <w:r>
              <w:rPr>
                <w:sz w:val="18"/>
                <w:szCs w:val="18"/>
              </w:rPr>
              <w:tab/>
            </w:r>
            <w:r w:rsidRPr="009A4562">
              <w:rPr>
                <w:sz w:val="18"/>
                <w:szCs w:val="18"/>
              </w:rPr>
              <w:t>Physician Grp Alliance</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0</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sidRPr="009D5F7E">
              <w:rPr>
                <w:sz w:val="18"/>
                <w:szCs w:val="18"/>
              </w:rPr>
              <w:t>--</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3</w:t>
            </w:r>
          </w:p>
        </w:tc>
        <w:tc>
          <w:tcPr>
            <w:tcW w:w="638" w:type="dxa"/>
            <w:tcBorders>
              <w:left w:val="nil"/>
            </w:tcBorders>
            <w:tcMar>
              <w:left w:w="43" w:type="dxa"/>
              <w:right w:w="43" w:type="dxa"/>
            </w:tcMar>
            <w:vAlign w:val="center"/>
          </w:tcPr>
          <w:p w:rsidR="00E9522B" w:rsidRPr="009D5F7E" w:rsidRDefault="00E9522B" w:rsidP="0001200B">
            <w:pPr>
              <w:tabs>
                <w:tab w:val="left" w:pos="337"/>
              </w:tabs>
              <w:jc w:val="right"/>
              <w:rPr>
                <w:sz w:val="18"/>
                <w:szCs w:val="18"/>
              </w:rPr>
            </w:pPr>
            <w:r>
              <w:rPr>
                <w:sz w:val="18"/>
                <w:szCs w:val="18"/>
              </w:rPr>
              <w:t>15.8%</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15</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17.2%</w:t>
            </w:r>
          </w:p>
        </w:tc>
        <w:tc>
          <w:tcPr>
            <w:tcW w:w="637" w:type="dxa"/>
            <w:tcBorders>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12</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13.6%</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26</w:t>
            </w:r>
          </w:p>
        </w:tc>
        <w:tc>
          <w:tcPr>
            <w:tcW w:w="638" w:type="dxa"/>
            <w:tcBorders>
              <w:left w:val="nil"/>
            </w:tcBorders>
            <w:tcMar>
              <w:left w:w="43" w:type="dxa"/>
              <w:right w:w="43" w:type="dxa"/>
            </w:tcMar>
            <w:vAlign w:val="center"/>
          </w:tcPr>
          <w:p w:rsidR="00E9522B" w:rsidRDefault="00E9522B" w:rsidP="0001200B">
            <w:pPr>
              <w:tabs>
                <w:tab w:val="left" w:pos="337"/>
              </w:tabs>
              <w:jc w:val="right"/>
              <w:rPr>
                <w:sz w:val="18"/>
                <w:szCs w:val="18"/>
              </w:rPr>
            </w:pPr>
            <w:r>
              <w:rPr>
                <w:sz w:val="18"/>
                <w:szCs w:val="18"/>
              </w:rPr>
              <w:t>18.1%</w:t>
            </w:r>
          </w:p>
        </w:tc>
        <w:tc>
          <w:tcPr>
            <w:tcW w:w="637" w:type="dxa"/>
            <w:tcBorders>
              <w:left w:val="nil"/>
              <w:right w:val="nil"/>
            </w:tcBorders>
            <w:tcMar>
              <w:left w:w="43" w:type="dxa"/>
              <w:right w:w="43" w:type="dxa"/>
            </w:tcMar>
            <w:vAlign w:val="center"/>
          </w:tcPr>
          <w:p w:rsidR="00E9522B" w:rsidRPr="006A2E16" w:rsidRDefault="00E9522B" w:rsidP="0001200B">
            <w:pPr>
              <w:jc w:val="right"/>
              <w:rPr>
                <w:sz w:val="18"/>
                <w:szCs w:val="18"/>
              </w:rPr>
            </w:pPr>
            <w:r w:rsidRPr="006A2E16">
              <w:rPr>
                <w:sz w:val="18"/>
                <w:szCs w:val="18"/>
              </w:rPr>
              <w:t>56</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16.6%</w:t>
            </w:r>
          </w:p>
        </w:tc>
      </w:tr>
      <w:tr w:rsidR="00E9522B" w:rsidRPr="009D5F7E" w:rsidTr="0001200B">
        <w:tc>
          <w:tcPr>
            <w:tcW w:w="9895" w:type="dxa"/>
            <w:gridSpan w:val="13"/>
          </w:tcPr>
          <w:p w:rsidR="00E9522B" w:rsidRPr="009D5F7E" w:rsidRDefault="00E9522B" w:rsidP="0001200B">
            <w:pPr>
              <w:rPr>
                <w:sz w:val="18"/>
                <w:szCs w:val="18"/>
              </w:rPr>
            </w:pPr>
            <w:r>
              <w:rPr>
                <w:sz w:val="18"/>
                <w:szCs w:val="18"/>
              </w:rPr>
              <w:t>Sponsoring Entity Type</w:t>
            </w:r>
          </w:p>
        </w:tc>
      </w:tr>
      <w:tr w:rsidR="00E9522B" w:rsidRPr="009D5F7E" w:rsidTr="0001200B">
        <w:tc>
          <w:tcPr>
            <w:tcW w:w="2245" w:type="dxa"/>
          </w:tcPr>
          <w:p w:rsidR="00E9522B" w:rsidRPr="009D5F7E" w:rsidRDefault="00E9522B" w:rsidP="0001200B">
            <w:pPr>
              <w:tabs>
                <w:tab w:val="left" w:pos="337"/>
              </w:tabs>
              <w:rPr>
                <w:sz w:val="18"/>
                <w:szCs w:val="18"/>
              </w:rPr>
            </w:pPr>
            <w:r>
              <w:rPr>
                <w:sz w:val="18"/>
                <w:szCs w:val="18"/>
              </w:rPr>
              <w:tab/>
              <w:t>Hospital system</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16.7%</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14</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36.8%</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52</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44.1%</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52</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53.1%</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59</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34.3%</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178</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41.2%</w:t>
            </w:r>
          </w:p>
        </w:tc>
      </w:tr>
      <w:tr w:rsidR="00E9522B" w:rsidRPr="009D5F7E" w:rsidTr="0001200B">
        <w:tc>
          <w:tcPr>
            <w:tcW w:w="2245" w:type="dxa"/>
          </w:tcPr>
          <w:p w:rsidR="00E9522B" w:rsidRPr="009D5F7E" w:rsidRDefault="00E9522B" w:rsidP="0001200B">
            <w:pPr>
              <w:tabs>
                <w:tab w:val="left" w:pos="337"/>
              </w:tabs>
              <w:rPr>
                <w:sz w:val="18"/>
                <w:szCs w:val="18"/>
              </w:rPr>
            </w:pPr>
            <w:r>
              <w:rPr>
                <w:sz w:val="18"/>
                <w:szCs w:val="18"/>
              </w:rPr>
              <w:tab/>
              <w:t>Physician group</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16.7%</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8</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21.1%</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38</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32.2%</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37</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37.8%</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85</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49.4%</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169</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39.1%</w:t>
            </w:r>
          </w:p>
        </w:tc>
      </w:tr>
      <w:tr w:rsidR="00E9522B" w:rsidRPr="009D5F7E" w:rsidTr="0001200B">
        <w:tc>
          <w:tcPr>
            <w:tcW w:w="2245" w:type="dxa"/>
          </w:tcPr>
          <w:p w:rsidR="00E9522B" w:rsidRPr="009D5F7E" w:rsidRDefault="00E9522B" w:rsidP="0001200B">
            <w:pPr>
              <w:tabs>
                <w:tab w:val="left" w:pos="337"/>
              </w:tabs>
              <w:rPr>
                <w:sz w:val="18"/>
                <w:szCs w:val="18"/>
              </w:rPr>
            </w:pPr>
            <w:r>
              <w:rPr>
                <w:sz w:val="18"/>
                <w:szCs w:val="18"/>
              </w:rPr>
              <w:tab/>
              <w:t>Other</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4</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66.7%</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16</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42.1%</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28</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23.7%</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9</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9.2%</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28</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16.3%</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85</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19.7%</w:t>
            </w:r>
          </w:p>
        </w:tc>
      </w:tr>
      <w:tr w:rsidR="00E9522B" w:rsidRPr="009D5F7E" w:rsidTr="0001200B">
        <w:tc>
          <w:tcPr>
            <w:tcW w:w="9895" w:type="dxa"/>
            <w:gridSpan w:val="13"/>
          </w:tcPr>
          <w:p w:rsidR="00E9522B" w:rsidRPr="009D5F7E" w:rsidRDefault="00E9522B" w:rsidP="0001200B">
            <w:pPr>
              <w:rPr>
                <w:sz w:val="18"/>
                <w:szCs w:val="18"/>
              </w:rPr>
            </w:pPr>
            <w:r>
              <w:rPr>
                <w:sz w:val="18"/>
                <w:szCs w:val="18"/>
              </w:rPr>
              <w:t>Provider Type</w:t>
            </w:r>
          </w:p>
        </w:tc>
      </w:tr>
      <w:tr w:rsidR="00E9522B" w:rsidRPr="009D5F7E" w:rsidTr="0001200B">
        <w:tc>
          <w:tcPr>
            <w:tcW w:w="2245" w:type="dxa"/>
          </w:tcPr>
          <w:p w:rsidR="00E9522B" w:rsidRPr="009D5F7E" w:rsidRDefault="00E9522B" w:rsidP="0001200B">
            <w:pPr>
              <w:tabs>
                <w:tab w:val="left" w:pos="337"/>
              </w:tabs>
              <w:rPr>
                <w:sz w:val="18"/>
                <w:szCs w:val="18"/>
              </w:rPr>
            </w:pPr>
            <w:r>
              <w:rPr>
                <w:sz w:val="18"/>
                <w:szCs w:val="18"/>
              </w:rPr>
              <w:tab/>
              <w:t>Hospital system</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2</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33.3%</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7</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18.9%</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27</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22.1%</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28</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28.3%</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31</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17.6%</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95</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21.6%</w:t>
            </w:r>
          </w:p>
        </w:tc>
      </w:tr>
      <w:tr w:rsidR="00E9522B" w:rsidRPr="009D5F7E" w:rsidTr="0001200B">
        <w:tc>
          <w:tcPr>
            <w:tcW w:w="2245" w:type="dxa"/>
          </w:tcPr>
          <w:p w:rsidR="00E9522B" w:rsidRPr="009D5F7E" w:rsidRDefault="00E9522B" w:rsidP="0001200B">
            <w:pPr>
              <w:tabs>
                <w:tab w:val="left" w:pos="337"/>
              </w:tabs>
              <w:rPr>
                <w:sz w:val="18"/>
                <w:szCs w:val="18"/>
              </w:rPr>
            </w:pPr>
            <w:r>
              <w:rPr>
                <w:sz w:val="18"/>
                <w:szCs w:val="18"/>
              </w:rPr>
              <w:tab/>
              <w:t>Physician group</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3</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50.0%</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15</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40.5%</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50</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41.0%</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32</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32.3%</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83</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47.2%</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183</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41.6%</w:t>
            </w:r>
          </w:p>
        </w:tc>
      </w:tr>
      <w:tr w:rsidR="00E9522B" w:rsidRPr="009D5F7E" w:rsidTr="0001200B">
        <w:tc>
          <w:tcPr>
            <w:tcW w:w="2245" w:type="dxa"/>
          </w:tcPr>
          <w:p w:rsidR="00E9522B" w:rsidRPr="009D5F7E" w:rsidRDefault="00E9522B" w:rsidP="0001200B">
            <w:pPr>
              <w:tabs>
                <w:tab w:val="left" w:pos="337"/>
              </w:tabs>
              <w:rPr>
                <w:sz w:val="18"/>
                <w:szCs w:val="18"/>
              </w:rPr>
            </w:pPr>
            <w:r>
              <w:rPr>
                <w:sz w:val="18"/>
                <w:szCs w:val="18"/>
              </w:rPr>
              <w:tab/>
              <w:t>Both</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16.7%</w:t>
            </w: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r>
              <w:rPr>
                <w:sz w:val="18"/>
                <w:szCs w:val="18"/>
              </w:rPr>
              <w:t>15</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40.5%</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45</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36.9%</w:t>
            </w:r>
          </w:p>
        </w:tc>
        <w:tc>
          <w:tcPr>
            <w:tcW w:w="637" w:type="dxa"/>
            <w:tcBorders>
              <w:right w:val="nil"/>
            </w:tcBorders>
            <w:tcMar>
              <w:left w:w="43" w:type="dxa"/>
              <w:right w:w="43" w:type="dxa"/>
            </w:tcMar>
            <w:vAlign w:val="center"/>
          </w:tcPr>
          <w:p w:rsidR="00E9522B" w:rsidRDefault="00E9522B" w:rsidP="0001200B">
            <w:pPr>
              <w:jc w:val="right"/>
              <w:rPr>
                <w:sz w:val="18"/>
                <w:szCs w:val="18"/>
              </w:rPr>
            </w:pPr>
            <w:r>
              <w:rPr>
                <w:sz w:val="18"/>
                <w:szCs w:val="18"/>
              </w:rPr>
              <w:t>39</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39.4%</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62</w:t>
            </w:r>
          </w:p>
        </w:tc>
        <w:tc>
          <w:tcPr>
            <w:tcW w:w="638" w:type="dxa"/>
            <w:tcBorders>
              <w:left w:val="nil"/>
            </w:tcBorders>
            <w:tcMar>
              <w:left w:w="43" w:type="dxa"/>
              <w:right w:w="43" w:type="dxa"/>
            </w:tcMar>
            <w:vAlign w:val="center"/>
          </w:tcPr>
          <w:p w:rsidR="00E9522B" w:rsidRDefault="00E9522B" w:rsidP="0001200B">
            <w:pPr>
              <w:jc w:val="right"/>
              <w:rPr>
                <w:sz w:val="18"/>
                <w:szCs w:val="18"/>
              </w:rPr>
            </w:pPr>
            <w:r>
              <w:rPr>
                <w:sz w:val="18"/>
                <w:szCs w:val="18"/>
              </w:rPr>
              <w:t>35.2%</w:t>
            </w: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r>
              <w:rPr>
                <w:sz w:val="18"/>
                <w:szCs w:val="18"/>
              </w:rPr>
              <w:t>162</w:t>
            </w: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r>
              <w:rPr>
                <w:sz w:val="18"/>
                <w:szCs w:val="18"/>
              </w:rPr>
              <w:t>36.8%</w:t>
            </w:r>
          </w:p>
        </w:tc>
      </w:tr>
      <w:tr w:rsidR="00E9522B" w:rsidRPr="009D5F7E" w:rsidTr="0001200B">
        <w:tc>
          <w:tcPr>
            <w:tcW w:w="2245" w:type="dxa"/>
          </w:tcPr>
          <w:p w:rsidR="00E9522B" w:rsidRPr="009D5F7E" w:rsidRDefault="00E9522B" w:rsidP="0001200B">
            <w:pPr>
              <w:tabs>
                <w:tab w:val="left" w:pos="337"/>
              </w:tabs>
              <w:rPr>
                <w:sz w:val="18"/>
                <w:szCs w:val="18"/>
              </w:rPr>
            </w:pP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p>
        </w:tc>
        <w:tc>
          <w:tcPr>
            <w:tcW w:w="637" w:type="dxa"/>
            <w:tcBorders>
              <w:right w:val="nil"/>
            </w:tcBorders>
            <w:tcMar>
              <w:left w:w="43" w:type="dxa"/>
              <w:right w:w="43" w:type="dxa"/>
            </w:tcMar>
            <w:vAlign w:val="center"/>
          </w:tcPr>
          <w:p w:rsidR="00E9522B" w:rsidRPr="009D5F7E" w:rsidRDefault="00E9522B" w:rsidP="0001200B">
            <w:pPr>
              <w:jc w:val="right"/>
              <w:rPr>
                <w:sz w:val="18"/>
                <w:szCs w:val="18"/>
              </w:rPr>
            </w:pP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p>
        </w:tc>
        <w:tc>
          <w:tcPr>
            <w:tcW w:w="637" w:type="dxa"/>
            <w:tcBorders>
              <w:right w:val="nil"/>
            </w:tcBorders>
            <w:tcMar>
              <w:left w:w="43" w:type="dxa"/>
              <w:right w:w="43" w:type="dxa"/>
            </w:tcMar>
            <w:vAlign w:val="center"/>
          </w:tcPr>
          <w:p w:rsidR="00E9522B" w:rsidRDefault="00E9522B" w:rsidP="0001200B">
            <w:pPr>
              <w:jc w:val="right"/>
              <w:rPr>
                <w:sz w:val="18"/>
                <w:szCs w:val="18"/>
              </w:rPr>
            </w:pPr>
          </w:p>
        </w:tc>
        <w:tc>
          <w:tcPr>
            <w:tcW w:w="638" w:type="dxa"/>
            <w:tcBorders>
              <w:left w:val="nil"/>
            </w:tcBorders>
            <w:tcMar>
              <w:left w:w="43" w:type="dxa"/>
              <w:right w:w="43" w:type="dxa"/>
            </w:tcMar>
            <w:vAlign w:val="center"/>
          </w:tcPr>
          <w:p w:rsidR="00E9522B" w:rsidRDefault="00E9522B" w:rsidP="0001200B">
            <w:pPr>
              <w:jc w:val="right"/>
              <w:rPr>
                <w:sz w:val="18"/>
                <w:szCs w:val="18"/>
              </w:rPr>
            </w:pPr>
          </w:p>
        </w:tc>
        <w:tc>
          <w:tcPr>
            <w:tcW w:w="637" w:type="dxa"/>
            <w:tcBorders>
              <w:right w:val="nil"/>
            </w:tcBorders>
            <w:tcMar>
              <w:left w:w="43" w:type="dxa"/>
              <w:right w:w="43" w:type="dxa"/>
            </w:tcMar>
            <w:vAlign w:val="center"/>
          </w:tcPr>
          <w:p w:rsidR="00E9522B" w:rsidRDefault="00E9522B" w:rsidP="0001200B">
            <w:pPr>
              <w:jc w:val="right"/>
              <w:rPr>
                <w:sz w:val="18"/>
                <w:szCs w:val="18"/>
              </w:rPr>
            </w:pPr>
          </w:p>
        </w:tc>
        <w:tc>
          <w:tcPr>
            <w:tcW w:w="638" w:type="dxa"/>
            <w:tcBorders>
              <w:left w:val="nil"/>
            </w:tcBorders>
            <w:tcMar>
              <w:left w:w="43" w:type="dxa"/>
              <w:right w:w="43" w:type="dxa"/>
            </w:tcMar>
            <w:vAlign w:val="center"/>
          </w:tcPr>
          <w:p w:rsidR="00E9522B" w:rsidRDefault="00E9522B" w:rsidP="0001200B">
            <w:pPr>
              <w:jc w:val="right"/>
              <w:rPr>
                <w:sz w:val="18"/>
                <w:szCs w:val="18"/>
              </w:rPr>
            </w:pP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p>
        </w:tc>
        <w:tc>
          <w:tcPr>
            <w:tcW w:w="638" w:type="dxa"/>
            <w:tcBorders>
              <w:left w:val="nil"/>
            </w:tcBorders>
            <w:tcMar>
              <w:left w:w="43" w:type="dxa"/>
              <w:right w:w="43" w:type="dxa"/>
            </w:tcMar>
            <w:vAlign w:val="center"/>
          </w:tcPr>
          <w:p w:rsidR="00E9522B" w:rsidRDefault="00E9522B" w:rsidP="0001200B">
            <w:pPr>
              <w:jc w:val="right"/>
              <w:rPr>
                <w:sz w:val="18"/>
                <w:szCs w:val="18"/>
              </w:rPr>
            </w:pPr>
          </w:p>
        </w:tc>
        <w:tc>
          <w:tcPr>
            <w:tcW w:w="637" w:type="dxa"/>
            <w:tcBorders>
              <w:left w:val="nil"/>
              <w:right w:val="nil"/>
            </w:tcBorders>
            <w:tcMar>
              <w:left w:w="43" w:type="dxa"/>
              <w:right w:w="43" w:type="dxa"/>
            </w:tcMar>
            <w:vAlign w:val="center"/>
          </w:tcPr>
          <w:p w:rsidR="00E9522B" w:rsidRDefault="00E9522B" w:rsidP="0001200B">
            <w:pPr>
              <w:jc w:val="right"/>
              <w:rPr>
                <w:sz w:val="18"/>
                <w:szCs w:val="18"/>
              </w:rPr>
            </w:pPr>
          </w:p>
        </w:tc>
        <w:tc>
          <w:tcPr>
            <w:tcW w:w="638" w:type="dxa"/>
            <w:tcBorders>
              <w:left w:val="nil"/>
            </w:tcBorders>
            <w:tcMar>
              <w:left w:w="43" w:type="dxa"/>
              <w:right w:w="43" w:type="dxa"/>
            </w:tcMar>
            <w:vAlign w:val="center"/>
          </w:tcPr>
          <w:p w:rsidR="00E9522B" w:rsidRPr="009D5F7E" w:rsidRDefault="00E9522B" w:rsidP="0001200B">
            <w:pPr>
              <w:jc w:val="right"/>
              <w:rPr>
                <w:sz w:val="18"/>
                <w:szCs w:val="18"/>
              </w:rPr>
            </w:pPr>
          </w:p>
        </w:tc>
      </w:tr>
    </w:tbl>
    <w:p w:rsidR="00CF3D1F" w:rsidRPr="00CF3D1F" w:rsidRDefault="00CF3D1F" w:rsidP="00CF3D1F">
      <w:pPr>
        <w:rPr>
          <w:sz w:val="20"/>
          <w:szCs w:val="20"/>
        </w:rPr>
      </w:pPr>
      <w:r w:rsidRPr="00CF3D1F">
        <w:rPr>
          <w:sz w:val="20"/>
          <w:szCs w:val="20"/>
        </w:rPr>
        <w:t>Source: RUPRI Center for Rural Health Policy Analysis database on ACO provider locations</w:t>
      </w:r>
      <w:r w:rsidR="00984896">
        <w:rPr>
          <w:sz w:val="20"/>
          <w:szCs w:val="20"/>
        </w:rPr>
        <w:t xml:space="preserve">; </w:t>
      </w:r>
      <w:r>
        <w:rPr>
          <w:sz w:val="20"/>
          <w:szCs w:val="20"/>
        </w:rPr>
        <w:t>and Levitt Partners Torch Insight Database (</w:t>
      </w:r>
      <w:r w:rsidRPr="00CF3D1F">
        <w:rPr>
          <w:sz w:val="20"/>
          <w:szCs w:val="20"/>
        </w:rPr>
        <w:t>https://torchinsight.com/</w:t>
      </w:r>
      <w:r>
        <w:rPr>
          <w:sz w:val="20"/>
          <w:szCs w:val="20"/>
        </w:rPr>
        <w:t>, 2018)</w:t>
      </w:r>
      <w:r w:rsidRPr="00CF3D1F">
        <w:rPr>
          <w:sz w:val="20"/>
          <w:szCs w:val="20"/>
        </w:rPr>
        <w:t>.</w:t>
      </w:r>
      <w:r>
        <w:rPr>
          <w:sz w:val="20"/>
          <w:szCs w:val="20"/>
        </w:rPr>
        <w:t xml:space="preserve"> </w:t>
      </w:r>
      <w:r w:rsidRPr="00CF3D1F">
        <w:rPr>
          <w:sz w:val="20"/>
          <w:szCs w:val="20"/>
        </w:rPr>
        <w:t>.</w:t>
      </w:r>
    </w:p>
    <w:p w:rsidR="00E9522B" w:rsidRDefault="00E9522B" w:rsidP="00984896">
      <w:pPr>
        <w:spacing w:after="0" w:line="240" w:lineRule="auto"/>
        <w:rPr>
          <w:b/>
          <w:sz w:val="16"/>
          <w:szCs w:val="16"/>
        </w:rPr>
      </w:pPr>
      <w:r>
        <w:rPr>
          <w:b/>
          <w:sz w:val="16"/>
          <w:szCs w:val="16"/>
        </w:rPr>
        <w:t>Metropolitan/Non-Metro categories:</w:t>
      </w:r>
    </w:p>
    <w:p w:rsidR="00E9522B" w:rsidRPr="00A321D0" w:rsidRDefault="00E9522B" w:rsidP="00E9522B">
      <w:pPr>
        <w:pStyle w:val="ListParagraph"/>
        <w:numPr>
          <w:ilvl w:val="0"/>
          <w:numId w:val="4"/>
        </w:numPr>
        <w:spacing w:after="0" w:line="240" w:lineRule="auto"/>
        <w:rPr>
          <w:sz w:val="16"/>
          <w:szCs w:val="16"/>
        </w:rPr>
      </w:pPr>
      <w:r w:rsidRPr="00A321D0">
        <w:rPr>
          <w:sz w:val="16"/>
          <w:szCs w:val="16"/>
        </w:rPr>
        <w:t xml:space="preserve">Nonmetro: 100% nonmetro counties </w:t>
      </w:r>
    </w:p>
    <w:p w:rsidR="00E9522B" w:rsidRPr="00A321D0" w:rsidRDefault="00E9522B" w:rsidP="00E9522B">
      <w:pPr>
        <w:pStyle w:val="ListParagraph"/>
        <w:numPr>
          <w:ilvl w:val="0"/>
          <w:numId w:val="4"/>
        </w:numPr>
        <w:spacing w:after="0" w:line="240" w:lineRule="auto"/>
        <w:rPr>
          <w:sz w:val="16"/>
          <w:szCs w:val="16"/>
        </w:rPr>
      </w:pPr>
      <w:r w:rsidRPr="00A321D0">
        <w:rPr>
          <w:sz w:val="16"/>
          <w:szCs w:val="16"/>
        </w:rPr>
        <w:t xml:space="preserve">Mostly nonmetro: 70%-99% nonmetro counties </w:t>
      </w:r>
    </w:p>
    <w:p w:rsidR="00E9522B" w:rsidRPr="00A321D0" w:rsidRDefault="00E9522B" w:rsidP="00E9522B">
      <w:pPr>
        <w:pStyle w:val="ListParagraph"/>
        <w:numPr>
          <w:ilvl w:val="0"/>
          <w:numId w:val="4"/>
        </w:numPr>
        <w:spacing w:after="0" w:line="240" w:lineRule="auto"/>
        <w:rPr>
          <w:sz w:val="16"/>
          <w:szCs w:val="16"/>
        </w:rPr>
      </w:pPr>
      <w:r w:rsidRPr="00A321D0">
        <w:rPr>
          <w:sz w:val="16"/>
          <w:szCs w:val="16"/>
        </w:rPr>
        <w:t xml:space="preserve">Mixed: 30%-69% nonmetro counties </w:t>
      </w:r>
    </w:p>
    <w:p w:rsidR="00E9522B" w:rsidRPr="00A321D0" w:rsidRDefault="00E9522B" w:rsidP="00E9522B">
      <w:pPr>
        <w:pStyle w:val="ListParagraph"/>
        <w:numPr>
          <w:ilvl w:val="0"/>
          <w:numId w:val="4"/>
        </w:numPr>
        <w:spacing w:after="0" w:line="240" w:lineRule="auto"/>
        <w:rPr>
          <w:sz w:val="16"/>
          <w:szCs w:val="16"/>
        </w:rPr>
      </w:pPr>
      <w:r w:rsidRPr="00A321D0">
        <w:rPr>
          <w:sz w:val="16"/>
          <w:szCs w:val="16"/>
        </w:rPr>
        <w:t xml:space="preserve">Mostly metro: 1%-29% nonmetro counties </w:t>
      </w:r>
    </w:p>
    <w:p w:rsidR="00E9522B" w:rsidRPr="00A321D0" w:rsidRDefault="00E9522B" w:rsidP="00E9522B">
      <w:pPr>
        <w:pStyle w:val="ListParagraph"/>
        <w:numPr>
          <w:ilvl w:val="0"/>
          <w:numId w:val="4"/>
        </w:numPr>
        <w:spacing w:after="0" w:line="240" w:lineRule="auto"/>
        <w:rPr>
          <w:sz w:val="16"/>
          <w:szCs w:val="16"/>
        </w:rPr>
      </w:pPr>
      <w:r w:rsidRPr="00A321D0">
        <w:rPr>
          <w:sz w:val="16"/>
          <w:szCs w:val="16"/>
        </w:rPr>
        <w:t>Metro: 0% nonmetro counties</w:t>
      </w:r>
    </w:p>
    <w:p w:rsidR="00984896" w:rsidRDefault="00984896" w:rsidP="00984896">
      <w:pPr>
        <w:spacing w:after="0" w:line="240" w:lineRule="auto"/>
        <w:ind w:left="360" w:hanging="360"/>
        <w:rPr>
          <w:b/>
          <w:sz w:val="16"/>
          <w:szCs w:val="16"/>
        </w:rPr>
      </w:pPr>
    </w:p>
    <w:p w:rsidR="00E9522B" w:rsidRPr="000B2E70" w:rsidRDefault="00E9522B" w:rsidP="00984896">
      <w:pPr>
        <w:spacing w:after="0" w:line="240" w:lineRule="auto"/>
        <w:ind w:left="360" w:hanging="360"/>
        <w:rPr>
          <w:sz w:val="16"/>
          <w:szCs w:val="16"/>
        </w:rPr>
      </w:pPr>
      <w:r w:rsidRPr="00A321D0">
        <w:rPr>
          <w:b/>
          <w:sz w:val="16"/>
          <w:szCs w:val="16"/>
        </w:rPr>
        <w:t>ACO Taxonomy Type</w:t>
      </w:r>
      <w:r w:rsidRPr="000B2E70">
        <w:rPr>
          <w:sz w:val="16"/>
          <w:szCs w:val="16"/>
        </w:rPr>
        <w:t xml:space="preserve"> (Leavitt Partners' classification) - A categorization of ACOs based on organizational structure, ownership, and patient care focus: </w:t>
      </w:r>
    </w:p>
    <w:p w:rsidR="00E9522B" w:rsidRPr="000B2E70" w:rsidRDefault="00E9522B" w:rsidP="00E9522B">
      <w:pPr>
        <w:pStyle w:val="ListParagraph"/>
        <w:numPr>
          <w:ilvl w:val="0"/>
          <w:numId w:val="5"/>
        </w:numPr>
        <w:spacing w:after="0" w:line="240" w:lineRule="auto"/>
        <w:rPr>
          <w:sz w:val="16"/>
          <w:szCs w:val="16"/>
        </w:rPr>
      </w:pPr>
      <w:r w:rsidRPr="000B2E70">
        <w:rPr>
          <w:sz w:val="16"/>
          <w:szCs w:val="16"/>
        </w:rPr>
        <w:t xml:space="preserve">Expanded Physician Group: ACOs who directly provide outpatient services, but will contract with other providers to offer hospital or subspecialty services. </w:t>
      </w:r>
    </w:p>
    <w:p w:rsidR="00E9522B" w:rsidRPr="000B2E70" w:rsidRDefault="00E9522B" w:rsidP="00E9522B">
      <w:pPr>
        <w:pStyle w:val="ListParagraph"/>
        <w:numPr>
          <w:ilvl w:val="0"/>
          <w:numId w:val="5"/>
        </w:numPr>
        <w:spacing w:after="0" w:line="240" w:lineRule="auto"/>
        <w:rPr>
          <w:sz w:val="16"/>
          <w:szCs w:val="16"/>
        </w:rPr>
      </w:pPr>
      <w:r w:rsidRPr="000B2E70">
        <w:rPr>
          <w:sz w:val="16"/>
          <w:szCs w:val="16"/>
        </w:rPr>
        <w:t xml:space="preserve">Full Spectrum Integrated: ACOs who provide all aspects of healthcare to their patients. ACOs in this classification are often dominated by a large integrated delivery network. </w:t>
      </w:r>
    </w:p>
    <w:p w:rsidR="00E9522B" w:rsidRPr="000B2E70" w:rsidRDefault="00E9522B" w:rsidP="00E9522B">
      <w:pPr>
        <w:pStyle w:val="ListParagraph"/>
        <w:numPr>
          <w:ilvl w:val="0"/>
          <w:numId w:val="5"/>
        </w:numPr>
        <w:spacing w:after="0" w:line="240" w:lineRule="auto"/>
        <w:rPr>
          <w:sz w:val="16"/>
          <w:szCs w:val="16"/>
        </w:rPr>
      </w:pPr>
      <w:r w:rsidRPr="000B2E70">
        <w:rPr>
          <w:sz w:val="16"/>
          <w:szCs w:val="16"/>
        </w:rPr>
        <w:t xml:space="preserve">Hospital Alliance: ACOs who have multiple owners with at least one of those owners directly providing inpatient services. </w:t>
      </w:r>
    </w:p>
    <w:p w:rsidR="00E9522B" w:rsidRDefault="00E9522B" w:rsidP="00E9522B">
      <w:pPr>
        <w:pStyle w:val="ListParagraph"/>
        <w:numPr>
          <w:ilvl w:val="0"/>
          <w:numId w:val="5"/>
        </w:numPr>
        <w:spacing w:after="0" w:line="240" w:lineRule="auto"/>
        <w:rPr>
          <w:sz w:val="16"/>
          <w:szCs w:val="16"/>
        </w:rPr>
      </w:pPr>
      <w:r w:rsidRPr="000B2E70">
        <w:rPr>
          <w:sz w:val="16"/>
          <w:szCs w:val="16"/>
        </w:rPr>
        <w:t xml:space="preserve">Independent Hospital: ACOs who have a single owner and directly provides inpatient services, but do not provide subspecialty care. Outpatient services could also be directly provided by this type of ACO if the owner is an integrated health system. </w:t>
      </w:r>
    </w:p>
    <w:p w:rsidR="00E9522B" w:rsidRPr="000B2E70" w:rsidRDefault="00E9522B" w:rsidP="00E9522B">
      <w:pPr>
        <w:pStyle w:val="ListParagraph"/>
        <w:numPr>
          <w:ilvl w:val="0"/>
          <w:numId w:val="5"/>
        </w:numPr>
        <w:spacing w:after="0" w:line="240" w:lineRule="auto"/>
        <w:rPr>
          <w:sz w:val="16"/>
          <w:szCs w:val="16"/>
        </w:rPr>
      </w:pPr>
      <w:r w:rsidRPr="000B2E70">
        <w:rPr>
          <w:sz w:val="16"/>
          <w:szCs w:val="16"/>
        </w:rPr>
        <w:t xml:space="preserve">Independent Physician Group: ACOs who have a single physician group owner and do not contract with other providers to offer additional services. </w:t>
      </w:r>
    </w:p>
    <w:p w:rsidR="00E9522B" w:rsidRDefault="00E9522B" w:rsidP="00E9522B">
      <w:pPr>
        <w:pStyle w:val="ListParagraph"/>
        <w:numPr>
          <w:ilvl w:val="0"/>
          <w:numId w:val="5"/>
        </w:numPr>
        <w:spacing w:after="0" w:line="240" w:lineRule="auto"/>
        <w:rPr>
          <w:sz w:val="16"/>
          <w:szCs w:val="16"/>
        </w:rPr>
      </w:pPr>
      <w:r w:rsidRPr="000B2E70">
        <w:rPr>
          <w:sz w:val="16"/>
          <w:szCs w:val="16"/>
        </w:rPr>
        <w:t xml:space="preserve">Physician Group Alliance: ACOs who may have multiple physician group owners — often including multi-specialty groups — but do not contract with other providers to offer additional services. </w:t>
      </w:r>
    </w:p>
    <w:p w:rsidR="00984896" w:rsidRDefault="00984896" w:rsidP="00984896">
      <w:pPr>
        <w:spacing w:after="0" w:line="240" w:lineRule="auto"/>
        <w:ind w:left="360" w:hanging="360"/>
        <w:rPr>
          <w:b/>
          <w:sz w:val="16"/>
          <w:szCs w:val="16"/>
        </w:rPr>
      </w:pPr>
    </w:p>
    <w:p w:rsidR="00E9522B" w:rsidRPr="00A321D0" w:rsidRDefault="00E9522B" w:rsidP="00984896">
      <w:pPr>
        <w:spacing w:after="0" w:line="240" w:lineRule="auto"/>
        <w:ind w:left="360" w:hanging="360"/>
        <w:rPr>
          <w:sz w:val="16"/>
          <w:szCs w:val="16"/>
        </w:rPr>
      </w:pPr>
      <w:r w:rsidRPr="00C0770D">
        <w:rPr>
          <w:b/>
          <w:sz w:val="16"/>
          <w:szCs w:val="16"/>
        </w:rPr>
        <w:t>Provider Type</w:t>
      </w:r>
      <w:r>
        <w:rPr>
          <w:sz w:val="16"/>
          <w:szCs w:val="16"/>
        </w:rPr>
        <w:t xml:space="preserve"> - </w:t>
      </w:r>
      <w:r w:rsidRPr="00A321D0">
        <w:rPr>
          <w:sz w:val="16"/>
          <w:szCs w:val="16"/>
        </w:rPr>
        <w:t>The type of provider organizations that are participating in an ACO. Options include: “Hospital System”, “Physician Group” and “Both”. For the purpose of this field “Hospital System” refers to any organization that owns and operates a hospital. The “Both” option is appropriate when there is a single organization, such as an integrated delivery network, that includes both a hospital system and a physician group as well as when there are separate hospital system and physician group organizations participating in the ACO.</w:t>
      </w:r>
    </w:p>
    <w:p w:rsidR="00E9522B" w:rsidRDefault="00E9522B">
      <w:pPr>
        <w:rPr>
          <w:sz w:val="24"/>
          <w:szCs w:val="24"/>
        </w:rPr>
      </w:pPr>
      <w:r>
        <w:rPr>
          <w:sz w:val="24"/>
          <w:szCs w:val="24"/>
        </w:rPr>
        <w:br w:type="page"/>
      </w:r>
    </w:p>
    <w:p w:rsidR="00061121" w:rsidRDefault="00061121" w:rsidP="00061121">
      <w:pPr>
        <w:spacing w:after="0" w:line="276" w:lineRule="auto"/>
        <w:ind w:firstLine="440"/>
        <w:rPr>
          <w:sz w:val="24"/>
          <w:szCs w:val="24"/>
        </w:rPr>
      </w:pPr>
      <w:bookmarkStart w:id="0" w:name="_GoBack"/>
      <w:bookmarkEnd w:id="0"/>
      <w:r>
        <w:rPr>
          <w:sz w:val="24"/>
          <w:szCs w:val="24"/>
        </w:rPr>
        <w:t>There have been two recent “pushes” of the ACO model in rural places. First, the ACO Investment Model (AIM) has provided start-up capital to qualifying organizations, and the criteria are weighted in favor of small (by beneficiary count) rural ACOs. Second, regional and national organizations are providing administrative support, and in some instances training in care management, to geographically disperse provider organizations. Several Management Service Organizations serve at least 15 ACOs, including ones in nonmetropolitan areas:</w:t>
      </w:r>
    </w:p>
    <w:p w:rsidR="00061121" w:rsidRDefault="00061121" w:rsidP="00061121">
      <w:pPr>
        <w:pStyle w:val="ListParagraph"/>
        <w:numPr>
          <w:ilvl w:val="0"/>
          <w:numId w:val="6"/>
        </w:numPr>
        <w:spacing w:after="0" w:line="240" w:lineRule="auto"/>
      </w:pPr>
      <w:r>
        <w:t>Aledade (16 total ACOs, 10 nonmetro/mostly nonmetro/mixed)</w:t>
      </w:r>
    </w:p>
    <w:p w:rsidR="00061121" w:rsidRDefault="00061121" w:rsidP="00061121">
      <w:pPr>
        <w:pStyle w:val="ListParagraph"/>
        <w:numPr>
          <w:ilvl w:val="0"/>
          <w:numId w:val="6"/>
        </w:numPr>
        <w:spacing w:after="0" w:line="240" w:lineRule="auto"/>
      </w:pPr>
      <w:r>
        <w:t>CaravanHealth (22 total ACOs, 21 nonmetro/mostly nonmetro/mixed)</w:t>
      </w:r>
    </w:p>
    <w:p w:rsidR="00061121" w:rsidRDefault="00061121" w:rsidP="00061121">
      <w:pPr>
        <w:pStyle w:val="ListParagraph"/>
        <w:numPr>
          <w:ilvl w:val="0"/>
          <w:numId w:val="6"/>
        </w:numPr>
        <w:spacing w:after="0" w:line="240" w:lineRule="auto"/>
      </w:pPr>
      <w:r>
        <w:t>Collaborative Health Systems (19 total ACOs, 6 nonmetro/mostly nonmetro/mixed)</w:t>
      </w:r>
    </w:p>
    <w:p w:rsidR="00061121" w:rsidRDefault="00061121" w:rsidP="00061121">
      <w:pPr>
        <w:pStyle w:val="ListParagraph"/>
        <w:numPr>
          <w:ilvl w:val="0"/>
          <w:numId w:val="6"/>
        </w:numPr>
        <w:spacing w:after="0" w:line="240" w:lineRule="auto"/>
      </w:pPr>
      <w:r>
        <w:t>Imperium Health (15 total ACOs, 7 nonmetro/mostly nonmetro/mixed).</w:t>
      </w:r>
    </w:p>
    <w:p w:rsidR="00061121" w:rsidRDefault="00061121" w:rsidP="00E9522B">
      <w:pPr>
        <w:spacing w:after="0" w:line="276" w:lineRule="auto"/>
        <w:ind w:firstLine="440"/>
        <w:rPr>
          <w:sz w:val="24"/>
          <w:szCs w:val="24"/>
        </w:rPr>
      </w:pPr>
    </w:p>
    <w:p w:rsidR="00B67B0C" w:rsidRDefault="00B67B0C" w:rsidP="00E9522B">
      <w:pPr>
        <w:spacing w:after="0" w:line="276" w:lineRule="auto"/>
        <w:ind w:firstLine="440"/>
        <w:rPr>
          <w:sz w:val="24"/>
          <w:szCs w:val="24"/>
        </w:rPr>
      </w:pPr>
      <w:r w:rsidRPr="00061000">
        <w:rPr>
          <w:sz w:val="24"/>
          <w:szCs w:val="24"/>
        </w:rPr>
        <w:t>While there is debate regarding the aggregate impact of ACOs on Medicare spending, our research and that of others find improvements in the quality measures used in the program</w:t>
      </w:r>
      <w:r w:rsidR="004D6F65" w:rsidRPr="00061000">
        <w:rPr>
          <w:sz w:val="24"/>
          <w:szCs w:val="24"/>
        </w:rPr>
        <w:t>.</w:t>
      </w:r>
      <w:r w:rsidR="0001200B">
        <w:rPr>
          <w:sz w:val="24"/>
          <w:szCs w:val="24"/>
        </w:rPr>
        <w:t xml:space="preserve"> Rural ACOs, for example perform well (better than urban counterparts) on care management/patient safety and preventive health domain</w:t>
      </w:r>
      <w:r w:rsidR="008339E1">
        <w:rPr>
          <w:sz w:val="24"/>
          <w:szCs w:val="24"/>
        </w:rPr>
        <w:t>s</w:t>
      </w:r>
      <w:r w:rsidR="0001200B">
        <w:rPr>
          <w:sz w:val="24"/>
          <w:szCs w:val="24"/>
        </w:rPr>
        <w:t xml:space="preserve">. </w:t>
      </w:r>
      <w:r w:rsidRPr="00061000">
        <w:rPr>
          <w:sz w:val="24"/>
          <w:szCs w:val="24"/>
        </w:rPr>
        <w:t>Expenditure savings vary</w:t>
      </w:r>
      <w:r w:rsidR="008339E1">
        <w:rPr>
          <w:sz w:val="24"/>
          <w:szCs w:val="24"/>
        </w:rPr>
        <w:t>;</w:t>
      </w:r>
      <w:r w:rsidRPr="00061000">
        <w:rPr>
          <w:sz w:val="24"/>
          <w:szCs w:val="24"/>
        </w:rPr>
        <w:t xml:space="preserve"> a 2017 OIG report </w:t>
      </w:r>
      <w:r w:rsidR="008339E1">
        <w:rPr>
          <w:sz w:val="24"/>
          <w:szCs w:val="24"/>
        </w:rPr>
        <w:t>found</w:t>
      </w:r>
      <w:r w:rsidRPr="00061000">
        <w:rPr>
          <w:sz w:val="24"/>
          <w:szCs w:val="24"/>
        </w:rPr>
        <w:t xml:space="preserve"> net reduction in spending across all ACOs, but concentrated in less than half of them. Eight of the 11 rural ACOs in the Advanced Payment Model</w:t>
      </w:r>
      <w:r w:rsidR="0001200B">
        <w:rPr>
          <w:sz w:val="24"/>
          <w:szCs w:val="24"/>
        </w:rPr>
        <w:t>, an early demonstration prior to the current AIM demonstration,</w:t>
      </w:r>
      <w:r w:rsidRPr="00061000">
        <w:rPr>
          <w:sz w:val="24"/>
          <w:szCs w:val="24"/>
        </w:rPr>
        <w:t xml:space="preserve"> generated savings.</w:t>
      </w:r>
      <w:r w:rsidR="008538DB" w:rsidRPr="00061000">
        <w:rPr>
          <w:sz w:val="24"/>
          <w:szCs w:val="24"/>
        </w:rPr>
        <w:t xml:space="preserve"> </w:t>
      </w:r>
      <w:r w:rsidR="001C2E0E">
        <w:rPr>
          <w:sz w:val="24"/>
          <w:szCs w:val="24"/>
        </w:rPr>
        <w:t>Analysis of 2016 final reports showed that 56 percent of MSSP ACOs saved Medicare expenditures, with 31 percent receiving share savings bonuses.</w:t>
      </w:r>
      <w:r w:rsidR="001C2E0E">
        <w:rPr>
          <w:rStyle w:val="EndnoteReference"/>
          <w:sz w:val="24"/>
          <w:szCs w:val="24"/>
        </w:rPr>
        <w:endnoteReference w:id="3"/>
      </w:r>
    </w:p>
    <w:p w:rsidR="0001200B" w:rsidRPr="00061000" w:rsidRDefault="0001200B" w:rsidP="00E9522B">
      <w:pPr>
        <w:spacing w:after="0" w:line="276" w:lineRule="auto"/>
        <w:ind w:firstLine="440"/>
        <w:rPr>
          <w:sz w:val="24"/>
          <w:szCs w:val="24"/>
        </w:rPr>
      </w:pPr>
    </w:p>
    <w:p w:rsidR="008538DB" w:rsidRDefault="008538DB" w:rsidP="00061000">
      <w:pPr>
        <w:spacing w:after="0" w:line="276" w:lineRule="auto"/>
        <w:ind w:firstLine="440"/>
        <w:rPr>
          <w:sz w:val="24"/>
          <w:szCs w:val="24"/>
        </w:rPr>
      </w:pPr>
      <w:r w:rsidRPr="00061000">
        <w:rPr>
          <w:sz w:val="24"/>
          <w:szCs w:val="24"/>
        </w:rPr>
        <w:t xml:space="preserve">We </w:t>
      </w:r>
      <w:r w:rsidR="004D6F65" w:rsidRPr="00061000">
        <w:rPr>
          <w:sz w:val="24"/>
          <w:szCs w:val="24"/>
        </w:rPr>
        <w:t>are</w:t>
      </w:r>
      <w:r w:rsidRPr="00061000">
        <w:rPr>
          <w:sz w:val="24"/>
          <w:szCs w:val="24"/>
        </w:rPr>
        <w:t xml:space="preserve"> at a critical point in time in learning from the experiences of early entrants into the Medicare ACO program. Some important questions should be addressed. Is the policy goal solely to continuously show lower expenditures versus a target influenced by the ACO</w:t>
      </w:r>
      <w:r w:rsidR="004D6F65" w:rsidRPr="00061000">
        <w:rPr>
          <w:sz w:val="24"/>
          <w:szCs w:val="24"/>
        </w:rPr>
        <w:t>’</w:t>
      </w:r>
      <w:r w:rsidRPr="00061000">
        <w:rPr>
          <w:sz w:val="24"/>
          <w:szCs w:val="24"/>
        </w:rPr>
        <w:t>s own previous success and the regional market? Are there benefits to this payment model</w:t>
      </w:r>
      <w:r w:rsidR="00B20122" w:rsidRPr="00061000">
        <w:rPr>
          <w:sz w:val="24"/>
          <w:szCs w:val="24"/>
        </w:rPr>
        <w:t xml:space="preserve"> related to changes in delivery models, including greater likelihood of achieving the triple aim of improved patient experience, better health, and lower costs? Should policy continuously accommodate different cost savings expectations, given variability in circumstances across all participating ACOs? </w:t>
      </w:r>
      <w:r w:rsidR="004D6F65" w:rsidRPr="00061000">
        <w:rPr>
          <w:sz w:val="24"/>
          <w:szCs w:val="24"/>
        </w:rPr>
        <w:t>S</w:t>
      </w:r>
      <w:r w:rsidR="00B20122" w:rsidRPr="00061000">
        <w:rPr>
          <w:sz w:val="24"/>
          <w:szCs w:val="24"/>
        </w:rPr>
        <w:t xml:space="preserve">hould variations of advanced payment (perhaps as grants) </w:t>
      </w:r>
      <w:r w:rsidR="004D6F65" w:rsidRPr="00061000">
        <w:rPr>
          <w:sz w:val="24"/>
          <w:szCs w:val="24"/>
        </w:rPr>
        <w:t xml:space="preserve">continue to </w:t>
      </w:r>
      <w:r w:rsidR="00B20122" w:rsidRPr="00061000">
        <w:rPr>
          <w:sz w:val="24"/>
          <w:szCs w:val="24"/>
        </w:rPr>
        <w:t>be available? Finally, what is the next iteration of payment reform that builds from the experiences of ACOs – perhaps global budgeting?</w:t>
      </w:r>
    </w:p>
    <w:p w:rsidR="001C2E0E" w:rsidRDefault="001C2E0E" w:rsidP="00061000">
      <w:pPr>
        <w:spacing w:after="0" w:line="276" w:lineRule="auto"/>
        <w:ind w:firstLine="440"/>
        <w:rPr>
          <w:sz w:val="24"/>
          <w:szCs w:val="24"/>
        </w:rPr>
      </w:pPr>
    </w:p>
    <w:p w:rsidR="008339E1" w:rsidRDefault="008339E1" w:rsidP="008339E1">
      <w:pPr>
        <w:spacing w:after="0" w:line="276" w:lineRule="auto"/>
        <w:rPr>
          <w:sz w:val="24"/>
          <w:szCs w:val="24"/>
        </w:rPr>
      </w:pPr>
      <w:r>
        <w:rPr>
          <w:b/>
          <w:sz w:val="24"/>
          <w:szCs w:val="24"/>
        </w:rPr>
        <w:t>Payment policies and delivery system reform</w:t>
      </w:r>
    </w:p>
    <w:p w:rsidR="008339E1" w:rsidRPr="008339E1" w:rsidRDefault="008339E1" w:rsidP="008339E1">
      <w:pPr>
        <w:spacing w:after="0" w:line="276" w:lineRule="auto"/>
        <w:rPr>
          <w:sz w:val="24"/>
          <w:szCs w:val="24"/>
        </w:rPr>
      </w:pPr>
    </w:p>
    <w:p w:rsidR="00B20122" w:rsidRPr="00061000" w:rsidRDefault="001C2E0E" w:rsidP="00061000">
      <w:pPr>
        <w:spacing w:after="0" w:line="276" w:lineRule="auto"/>
        <w:ind w:firstLine="440"/>
        <w:rPr>
          <w:sz w:val="24"/>
          <w:szCs w:val="24"/>
        </w:rPr>
      </w:pPr>
      <w:r>
        <w:rPr>
          <w:sz w:val="24"/>
          <w:szCs w:val="24"/>
        </w:rPr>
        <w:t xml:space="preserve">The ACO program is generating a great deal of attention, but it is but only </w:t>
      </w:r>
      <w:r w:rsidR="00BC4CB1">
        <w:rPr>
          <w:sz w:val="24"/>
          <w:szCs w:val="24"/>
        </w:rPr>
        <w:t xml:space="preserve">one </w:t>
      </w:r>
      <w:r>
        <w:rPr>
          <w:sz w:val="24"/>
          <w:szCs w:val="24"/>
        </w:rPr>
        <w:t xml:space="preserve">approach to payment reform designed to motivate changes in the health care delivery system (delivery system reform or DSR). </w:t>
      </w:r>
      <w:r w:rsidR="00542A76" w:rsidRPr="00061000">
        <w:rPr>
          <w:sz w:val="24"/>
          <w:szCs w:val="24"/>
        </w:rPr>
        <w:t xml:space="preserve">We should expect more </w:t>
      </w:r>
      <w:r w:rsidR="004D6F65" w:rsidRPr="00061000">
        <w:rPr>
          <w:sz w:val="24"/>
          <w:szCs w:val="24"/>
        </w:rPr>
        <w:t xml:space="preserve">payment reform </w:t>
      </w:r>
      <w:r w:rsidR="00542A76" w:rsidRPr="00061000">
        <w:rPr>
          <w:sz w:val="24"/>
          <w:szCs w:val="24"/>
        </w:rPr>
        <w:t>initiatives going forward, including implement of physician payment reform. As we do so the RUPRI Panel encourage</w:t>
      </w:r>
      <w:r w:rsidR="004D6F65" w:rsidRPr="00061000">
        <w:rPr>
          <w:sz w:val="24"/>
          <w:szCs w:val="24"/>
        </w:rPr>
        <w:t>s</w:t>
      </w:r>
      <w:r w:rsidR="00542A76" w:rsidRPr="00061000">
        <w:rPr>
          <w:sz w:val="24"/>
          <w:szCs w:val="24"/>
        </w:rPr>
        <w:t xml:space="preserve"> attention to five rural specific considerations:</w:t>
      </w:r>
    </w:p>
    <w:p w:rsidR="00542A76" w:rsidRPr="00061000" w:rsidRDefault="00542A76" w:rsidP="00061000">
      <w:pPr>
        <w:pStyle w:val="ListParagraph"/>
        <w:numPr>
          <w:ilvl w:val="0"/>
          <w:numId w:val="2"/>
        </w:numPr>
        <w:spacing w:after="0" w:line="276" w:lineRule="auto"/>
        <w:rPr>
          <w:sz w:val="24"/>
          <w:szCs w:val="24"/>
        </w:rPr>
      </w:pPr>
      <w:r w:rsidRPr="00061000">
        <w:rPr>
          <w:sz w:val="24"/>
          <w:szCs w:val="24"/>
        </w:rPr>
        <w:t>Organize rural health systems to create integrated care.</w:t>
      </w:r>
    </w:p>
    <w:p w:rsidR="00542A76" w:rsidRPr="00061000" w:rsidRDefault="00542A76" w:rsidP="00061000">
      <w:pPr>
        <w:pStyle w:val="ListParagraph"/>
        <w:numPr>
          <w:ilvl w:val="0"/>
          <w:numId w:val="2"/>
        </w:numPr>
        <w:spacing w:after="0" w:line="276" w:lineRule="auto"/>
        <w:rPr>
          <w:sz w:val="24"/>
          <w:szCs w:val="24"/>
        </w:rPr>
      </w:pPr>
      <w:r w:rsidRPr="00061000">
        <w:rPr>
          <w:sz w:val="24"/>
          <w:szCs w:val="24"/>
        </w:rPr>
        <w:t>Build rural system capacity to support integrated care.</w:t>
      </w:r>
    </w:p>
    <w:p w:rsidR="00542A76" w:rsidRPr="00061000" w:rsidRDefault="00542A76" w:rsidP="00061000">
      <w:pPr>
        <w:pStyle w:val="ListParagraph"/>
        <w:numPr>
          <w:ilvl w:val="0"/>
          <w:numId w:val="2"/>
        </w:numPr>
        <w:spacing w:after="0" w:line="276" w:lineRule="auto"/>
        <w:rPr>
          <w:sz w:val="24"/>
          <w:szCs w:val="24"/>
        </w:rPr>
      </w:pPr>
      <w:r w:rsidRPr="00061000">
        <w:rPr>
          <w:sz w:val="24"/>
          <w:szCs w:val="24"/>
        </w:rPr>
        <w:t>Facilitate rural participation in value-based payments.</w:t>
      </w:r>
    </w:p>
    <w:p w:rsidR="00542A76" w:rsidRPr="00061000" w:rsidRDefault="00542A76" w:rsidP="00061000">
      <w:pPr>
        <w:pStyle w:val="ListParagraph"/>
        <w:numPr>
          <w:ilvl w:val="0"/>
          <w:numId w:val="2"/>
        </w:numPr>
        <w:spacing w:after="0" w:line="276" w:lineRule="auto"/>
        <w:rPr>
          <w:sz w:val="24"/>
          <w:szCs w:val="24"/>
        </w:rPr>
      </w:pPr>
      <w:r w:rsidRPr="00061000">
        <w:rPr>
          <w:sz w:val="24"/>
          <w:szCs w:val="24"/>
        </w:rPr>
        <w:t>Align Medicare payment and performance assessment policies with Medicaid and commercial payers.</w:t>
      </w:r>
    </w:p>
    <w:p w:rsidR="00542A76" w:rsidRDefault="00542A76" w:rsidP="00061000">
      <w:pPr>
        <w:pStyle w:val="ListParagraph"/>
        <w:numPr>
          <w:ilvl w:val="0"/>
          <w:numId w:val="2"/>
        </w:numPr>
        <w:spacing w:after="0" w:line="276" w:lineRule="auto"/>
        <w:rPr>
          <w:sz w:val="24"/>
          <w:szCs w:val="24"/>
        </w:rPr>
      </w:pPr>
      <w:r w:rsidRPr="00061000">
        <w:rPr>
          <w:sz w:val="24"/>
          <w:szCs w:val="24"/>
        </w:rPr>
        <w:t>Develop rural-appropriate payment systems.</w:t>
      </w:r>
    </w:p>
    <w:p w:rsidR="00CB229C" w:rsidRPr="00CB229C" w:rsidRDefault="00CB229C" w:rsidP="00CB229C">
      <w:pPr>
        <w:spacing w:after="0" w:line="276" w:lineRule="auto"/>
        <w:rPr>
          <w:sz w:val="24"/>
          <w:szCs w:val="24"/>
        </w:rPr>
      </w:pPr>
      <w:r>
        <w:rPr>
          <w:sz w:val="24"/>
          <w:szCs w:val="24"/>
        </w:rPr>
        <w:t xml:space="preserve">In discussing each of those considerations, the Panel provides specific suggestions in our </w:t>
      </w:r>
      <w:r>
        <w:rPr>
          <w:i/>
          <w:sz w:val="24"/>
          <w:szCs w:val="24"/>
        </w:rPr>
        <w:t>Policy Paper</w:t>
      </w:r>
      <w:r>
        <w:rPr>
          <w:sz w:val="24"/>
          <w:szCs w:val="24"/>
        </w:rPr>
        <w:t xml:space="preserve">, which can be downloaded from the Panel’s web site: </w:t>
      </w:r>
      <w:hyperlink r:id="rId13" w:history="1">
        <w:r w:rsidRPr="001014AC">
          <w:rPr>
            <w:rStyle w:val="Hyperlink"/>
            <w:sz w:val="24"/>
            <w:szCs w:val="24"/>
          </w:rPr>
          <w:t>http://www.rupri.org/wp-content/uploads/FORHP-comments-km-DSR-PANEL-DOCUMENT_PRD_Review_112315.clean-4_sn-3.pdf</w:t>
        </w:r>
      </w:hyperlink>
      <w:r>
        <w:rPr>
          <w:sz w:val="24"/>
          <w:szCs w:val="24"/>
        </w:rPr>
        <w:t xml:space="preserve">. </w:t>
      </w:r>
    </w:p>
    <w:p w:rsidR="00BC4CB1" w:rsidRDefault="00BC4CB1" w:rsidP="00061000">
      <w:pPr>
        <w:spacing w:after="0" w:line="276" w:lineRule="auto"/>
        <w:rPr>
          <w:sz w:val="24"/>
          <w:szCs w:val="24"/>
        </w:rPr>
      </w:pPr>
    </w:p>
    <w:p w:rsidR="00F90E2B" w:rsidRDefault="00121184" w:rsidP="00BC4CB1">
      <w:pPr>
        <w:spacing w:after="0" w:line="276" w:lineRule="auto"/>
        <w:ind w:firstLine="440"/>
        <w:rPr>
          <w:sz w:val="24"/>
          <w:szCs w:val="24"/>
        </w:rPr>
      </w:pPr>
      <w:r w:rsidRPr="00061000">
        <w:rPr>
          <w:sz w:val="24"/>
          <w:szCs w:val="24"/>
        </w:rPr>
        <w:t>In general, payment policies should be sensitive to the rural practice environment, including population density, distances to providers, infrastructure investment including information technology and data analytics capabilities, and opportunities to develop models that actually take advantage of smaller scale and integrating all local services with those provided at some distance.</w:t>
      </w:r>
      <w:r w:rsidR="00BC4CB1">
        <w:rPr>
          <w:sz w:val="24"/>
          <w:szCs w:val="24"/>
        </w:rPr>
        <w:t xml:space="preserve"> </w:t>
      </w:r>
      <w:r w:rsidR="00EF58E2">
        <w:rPr>
          <w:sz w:val="24"/>
          <w:szCs w:val="24"/>
        </w:rPr>
        <w:t>One example of that sensitivity is to be aware of differences in readiness to change. For example, our analysis of 2015 data from physician compare shows that among categories of urban, rural, and “mixed” physician practice locations, rural practices were least likely to report quality measures (58.5 percent) and use elect</w:t>
      </w:r>
      <w:r w:rsidR="00CB229C">
        <w:rPr>
          <w:sz w:val="24"/>
          <w:szCs w:val="24"/>
        </w:rPr>
        <w:t>r</w:t>
      </w:r>
      <w:r w:rsidR="00EF58E2">
        <w:rPr>
          <w:sz w:val="24"/>
          <w:szCs w:val="24"/>
        </w:rPr>
        <w:t xml:space="preserve">onic records (17.7 percent). These data indicate a need for a modified timeline to implement payment reform, and/or </w:t>
      </w:r>
      <w:r w:rsidR="00CB229C">
        <w:rPr>
          <w:sz w:val="24"/>
          <w:szCs w:val="24"/>
        </w:rPr>
        <w:t>a rationale to provide additional technical assistance and access to capital.</w:t>
      </w:r>
    </w:p>
    <w:p w:rsidR="00EF58E2" w:rsidRDefault="00EF58E2" w:rsidP="008339E1">
      <w:pPr>
        <w:spacing w:after="0" w:line="276" w:lineRule="auto"/>
        <w:rPr>
          <w:sz w:val="24"/>
          <w:szCs w:val="24"/>
        </w:rPr>
      </w:pPr>
    </w:p>
    <w:p w:rsidR="008339E1" w:rsidRDefault="008339E1" w:rsidP="008339E1">
      <w:pPr>
        <w:spacing w:after="0" w:line="276" w:lineRule="auto"/>
        <w:rPr>
          <w:sz w:val="24"/>
          <w:szCs w:val="24"/>
        </w:rPr>
      </w:pPr>
      <w:r>
        <w:rPr>
          <w:b/>
          <w:sz w:val="24"/>
          <w:szCs w:val="24"/>
        </w:rPr>
        <w:t>Telehealth</w:t>
      </w:r>
    </w:p>
    <w:p w:rsidR="008339E1" w:rsidRPr="008339E1" w:rsidRDefault="008339E1" w:rsidP="008339E1">
      <w:pPr>
        <w:spacing w:after="0" w:line="276" w:lineRule="auto"/>
        <w:rPr>
          <w:sz w:val="24"/>
          <w:szCs w:val="24"/>
        </w:rPr>
      </w:pPr>
    </w:p>
    <w:p w:rsidR="00F1777B" w:rsidRDefault="00FC6D73" w:rsidP="00061000">
      <w:pPr>
        <w:spacing w:after="0" w:line="276" w:lineRule="auto"/>
        <w:rPr>
          <w:sz w:val="24"/>
          <w:szCs w:val="24"/>
        </w:rPr>
      </w:pPr>
      <w:r w:rsidRPr="00061000">
        <w:rPr>
          <w:sz w:val="24"/>
          <w:szCs w:val="24"/>
        </w:rPr>
        <w:tab/>
      </w:r>
      <w:r w:rsidR="0036563F" w:rsidRPr="00061000">
        <w:rPr>
          <w:sz w:val="24"/>
          <w:szCs w:val="24"/>
        </w:rPr>
        <w:t xml:space="preserve">Appropriate use of telehealth, the third are of focus in my </w:t>
      </w:r>
      <w:r w:rsidR="001F07D9">
        <w:rPr>
          <w:sz w:val="24"/>
          <w:szCs w:val="24"/>
        </w:rPr>
        <w:t>testimony</w:t>
      </w:r>
      <w:r w:rsidR="0036563F" w:rsidRPr="00061000">
        <w:rPr>
          <w:sz w:val="24"/>
          <w:szCs w:val="24"/>
        </w:rPr>
        <w:t>, could facilitate taking full advantage of the strengths of the rural model</w:t>
      </w:r>
      <w:r w:rsidR="00EF58E2">
        <w:rPr>
          <w:sz w:val="24"/>
          <w:szCs w:val="24"/>
        </w:rPr>
        <w:t>, focused on direct patient engagement from a primary care base.</w:t>
      </w:r>
      <w:r w:rsidR="00F1777B">
        <w:rPr>
          <w:sz w:val="24"/>
          <w:szCs w:val="24"/>
        </w:rPr>
        <w:t xml:space="preserve"> Studies completed by the RUPRI Center </w:t>
      </w:r>
      <w:r w:rsidR="008339E1">
        <w:rPr>
          <w:sz w:val="24"/>
          <w:szCs w:val="24"/>
        </w:rPr>
        <w:t>(</w:t>
      </w:r>
      <w:hyperlink r:id="rId14" w:history="1">
        <w:r w:rsidR="008339E1" w:rsidRPr="001014AC">
          <w:rPr>
            <w:rStyle w:val="Hyperlink"/>
            <w:sz w:val="24"/>
            <w:szCs w:val="24"/>
          </w:rPr>
          <w:t>www.ruprihealth.org</w:t>
        </w:r>
      </w:hyperlink>
      <w:r w:rsidR="008339E1">
        <w:rPr>
          <w:sz w:val="24"/>
          <w:szCs w:val="24"/>
        </w:rPr>
        <w:t xml:space="preserve">) </w:t>
      </w:r>
      <w:r w:rsidR="00F1777B">
        <w:rPr>
          <w:sz w:val="24"/>
          <w:szCs w:val="24"/>
        </w:rPr>
        <w:t>and underway by the National Center for Rural Telehealth Research</w:t>
      </w:r>
      <w:r w:rsidR="008339E1">
        <w:rPr>
          <w:sz w:val="24"/>
          <w:szCs w:val="24"/>
        </w:rPr>
        <w:t xml:space="preserve"> (</w:t>
      </w:r>
      <w:hyperlink r:id="rId15" w:history="1">
        <w:r w:rsidR="008339E1" w:rsidRPr="001014AC">
          <w:rPr>
            <w:rStyle w:val="Hyperlink"/>
            <w:sz w:val="24"/>
            <w:szCs w:val="24"/>
          </w:rPr>
          <w:t>www.ruraltelehealth.org</w:t>
        </w:r>
      </w:hyperlink>
      <w:r w:rsidR="008339E1">
        <w:rPr>
          <w:sz w:val="24"/>
          <w:szCs w:val="24"/>
        </w:rPr>
        <w:t>),</w:t>
      </w:r>
      <w:r w:rsidR="00F1777B">
        <w:rPr>
          <w:sz w:val="24"/>
          <w:szCs w:val="24"/>
        </w:rPr>
        <w:t xml:space="preserve"> show that telehealth can be a tool that reinforces and augments care provided by primary care providers (PCPs) in rural settings. </w:t>
      </w:r>
      <w:r w:rsidR="00EF58E2">
        <w:rPr>
          <w:sz w:val="24"/>
          <w:szCs w:val="24"/>
        </w:rPr>
        <w:t xml:space="preserve"> </w:t>
      </w:r>
      <w:r w:rsidR="0036563F" w:rsidRPr="00061000">
        <w:rPr>
          <w:sz w:val="24"/>
          <w:szCs w:val="24"/>
        </w:rPr>
        <w:t xml:space="preserve">Access to specialist services included in the continuum of care initiated by </w:t>
      </w:r>
      <w:r w:rsidR="00F1777B">
        <w:rPr>
          <w:sz w:val="24"/>
          <w:szCs w:val="24"/>
        </w:rPr>
        <w:t>PCPs</w:t>
      </w:r>
      <w:r w:rsidR="0036563F" w:rsidRPr="00061000">
        <w:rPr>
          <w:sz w:val="24"/>
          <w:szCs w:val="24"/>
        </w:rPr>
        <w:t xml:space="preserve"> is enhanced when the specialist is brought to the rural site through telehealth. Further,</w:t>
      </w:r>
      <w:r w:rsidR="00F1777B">
        <w:rPr>
          <w:sz w:val="24"/>
          <w:szCs w:val="24"/>
        </w:rPr>
        <w:t xml:space="preserve"> </w:t>
      </w:r>
      <w:r w:rsidR="00F1777B" w:rsidRPr="00061000">
        <w:rPr>
          <w:sz w:val="24"/>
          <w:szCs w:val="24"/>
        </w:rPr>
        <w:t>virtual office visits and home monitoring</w:t>
      </w:r>
      <w:r w:rsidR="0036563F" w:rsidRPr="00061000">
        <w:rPr>
          <w:sz w:val="24"/>
          <w:szCs w:val="24"/>
        </w:rPr>
        <w:t xml:space="preserve"> provid</w:t>
      </w:r>
      <w:r w:rsidR="00F1777B">
        <w:rPr>
          <w:sz w:val="24"/>
          <w:szCs w:val="24"/>
        </w:rPr>
        <w:t>e</w:t>
      </w:r>
      <w:r w:rsidR="0036563F" w:rsidRPr="00061000">
        <w:rPr>
          <w:sz w:val="24"/>
          <w:szCs w:val="24"/>
        </w:rPr>
        <w:t xml:space="preserve"> the specialist with information needed to manage chronic conditions</w:t>
      </w:r>
      <w:r w:rsidR="00F1777B">
        <w:rPr>
          <w:sz w:val="24"/>
          <w:szCs w:val="24"/>
        </w:rPr>
        <w:t xml:space="preserve">. </w:t>
      </w:r>
      <w:r w:rsidR="0036563F" w:rsidRPr="00061000">
        <w:rPr>
          <w:sz w:val="24"/>
          <w:szCs w:val="24"/>
        </w:rPr>
        <w:t xml:space="preserve">  </w:t>
      </w:r>
    </w:p>
    <w:p w:rsidR="00F1777B" w:rsidRDefault="00F1777B" w:rsidP="00F1777B">
      <w:pPr>
        <w:spacing w:after="0" w:line="276" w:lineRule="auto"/>
        <w:ind w:firstLine="720"/>
        <w:rPr>
          <w:sz w:val="24"/>
          <w:szCs w:val="24"/>
        </w:rPr>
      </w:pPr>
    </w:p>
    <w:p w:rsidR="00827734" w:rsidRDefault="0036563F" w:rsidP="00F1777B">
      <w:pPr>
        <w:spacing w:after="0" w:line="276" w:lineRule="auto"/>
        <w:ind w:firstLine="720"/>
        <w:rPr>
          <w:sz w:val="24"/>
          <w:szCs w:val="24"/>
        </w:rPr>
      </w:pPr>
      <w:r w:rsidRPr="00061000">
        <w:rPr>
          <w:sz w:val="24"/>
          <w:szCs w:val="24"/>
        </w:rPr>
        <w:t xml:space="preserve">In our research </w:t>
      </w:r>
      <w:r w:rsidR="00AA7A70" w:rsidRPr="00061000">
        <w:rPr>
          <w:sz w:val="24"/>
          <w:szCs w:val="24"/>
        </w:rPr>
        <w:t xml:space="preserve">focused on use of telehealth in hospital facilities we found that tele-emergency care enhanced local access by </w:t>
      </w:r>
      <w:r w:rsidR="00F1777B">
        <w:rPr>
          <w:sz w:val="24"/>
          <w:szCs w:val="24"/>
        </w:rPr>
        <w:t>having</w:t>
      </w:r>
      <w:r w:rsidR="00AA7A70" w:rsidRPr="00061000">
        <w:rPr>
          <w:sz w:val="24"/>
          <w:szCs w:val="24"/>
        </w:rPr>
        <w:t xml:space="preserve"> board-certified emergency doctors available on call</w:t>
      </w:r>
      <w:r w:rsidR="00F1777B">
        <w:rPr>
          <w:sz w:val="24"/>
          <w:szCs w:val="24"/>
        </w:rPr>
        <w:t xml:space="preserve">. This was </w:t>
      </w:r>
      <w:r w:rsidR="00AA7A70" w:rsidRPr="00061000">
        <w:rPr>
          <w:sz w:val="24"/>
          <w:szCs w:val="24"/>
        </w:rPr>
        <w:t>instrumental in recruiting and retaining primary care physicians who knew they had the support of those board certified physicians who see many cases of what in a rural setting are infrequent occurrences. We also found reported improvements in quality of care, greater ability to focus on patient needs</w:t>
      </w:r>
      <w:r w:rsidR="004D6F65" w:rsidRPr="00061000">
        <w:rPr>
          <w:sz w:val="24"/>
          <w:szCs w:val="24"/>
        </w:rPr>
        <w:t>,</w:t>
      </w:r>
      <w:r w:rsidR="00AA7A70" w:rsidRPr="00061000">
        <w:rPr>
          <w:sz w:val="24"/>
          <w:szCs w:val="24"/>
        </w:rPr>
        <w:t xml:space="preserve"> and improved community support of the local hospital. Use of telehealth services is expected to increase, especially given provisions in the Chronic Care Act section of the Bipartisan Balanced Budget Act. As that happens there are </w:t>
      </w:r>
      <w:r w:rsidR="004D6F65" w:rsidRPr="00061000">
        <w:rPr>
          <w:sz w:val="24"/>
          <w:szCs w:val="24"/>
        </w:rPr>
        <w:t xml:space="preserve">ongoing policy </w:t>
      </w:r>
      <w:r w:rsidR="00AA7A70" w:rsidRPr="00061000">
        <w:rPr>
          <w:sz w:val="24"/>
          <w:szCs w:val="24"/>
        </w:rPr>
        <w:t>considerations</w:t>
      </w:r>
      <w:r w:rsidR="004D6F65" w:rsidRPr="00061000">
        <w:rPr>
          <w:sz w:val="24"/>
          <w:szCs w:val="24"/>
        </w:rPr>
        <w:t>.</w:t>
      </w:r>
      <w:r w:rsidR="00AA7A70" w:rsidRPr="00061000">
        <w:rPr>
          <w:sz w:val="24"/>
          <w:szCs w:val="24"/>
        </w:rPr>
        <w:t xml:space="preserve"> First, </w:t>
      </w:r>
      <w:r w:rsidR="00827734" w:rsidRPr="00061000">
        <w:rPr>
          <w:sz w:val="24"/>
          <w:szCs w:val="24"/>
        </w:rPr>
        <w:t>f</w:t>
      </w:r>
      <w:r w:rsidR="00AA7A70" w:rsidRPr="00061000">
        <w:rPr>
          <w:sz w:val="24"/>
          <w:szCs w:val="24"/>
        </w:rPr>
        <w:t xml:space="preserve">ee-for-service payment policies need to be in place allowing payment for services delivered through telehealth. </w:t>
      </w:r>
      <w:r w:rsidR="00827734" w:rsidRPr="00061000">
        <w:rPr>
          <w:sz w:val="24"/>
          <w:szCs w:val="24"/>
        </w:rPr>
        <w:t xml:space="preserve">As payment evolves away from fee-for-service telehealth should be supported as a means to the achieving the triple aim. </w:t>
      </w:r>
      <w:r w:rsidR="004D6F65" w:rsidRPr="00061000">
        <w:rPr>
          <w:sz w:val="24"/>
          <w:szCs w:val="24"/>
        </w:rPr>
        <w:t>S</w:t>
      </w:r>
      <w:r w:rsidR="00AA7A70" w:rsidRPr="00061000">
        <w:rPr>
          <w:sz w:val="24"/>
          <w:szCs w:val="24"/>
        </w:rPr>
        <w:t>ec</w:t>
      </w:r>
      <w:r w:rsidR="00827734" w:rsidRPr="00061000">
        <w:rPr>
          <w:sz w:val="24"/>
          <w:szCs w:val="24"/>
        </w:rPr>
        <w:t>ond</w:t>
      </w:r>
      <w:r w:rsidR="00F1777B">
        <w:rPr>
          <w:sz w:val="24"/>
          <w:szCs w:val="24"/>
        </w:rPr>
        <w:t>,</w:t>
      </w:r>
      <w:r w:rsidR="00827734" w:rsidRPr="00061000">
        <w:rPr>
          <w:sz w:val="24"/>
          <w:szCs w:val="24"/>
        </w:rPr>
        <w:t xml:space="preserve"> support </w:t>
      </w:r>
      <w:r w:rsidR="004D6F65" w:rsidRPr="00061000">
        <w:rPr>
          <w:sz w:val="24"/>
          <w:szCs w:val="24"/>
        </w:rPr>
        <w:t xml:space="preserve">is needed for </w:t>
      </w:r>
      <w:r w:rsidR="00827734" w:rsidRPr="00061000">
        <w:rPr>
          <w:sz w:val="24"/>
          <w:szCs w:val="24"/>
        </w:rPr>
        <w:t xml:space="preserve">ongoing research indicating when telehealth services add value to health care delivery. </w:t>
      </w:r>
    </w:p>
    <w:p w:rsidR="004719BA" w:rsidRDefault="004719BA" w:rsidP="008339E1">
      <w:pPr>
        <w:spacing w:after="0" w:line="276" w:lineRule="auto"/>
        <w:rPr>
          <w:sz w:val="24"/>
          <w:szCs w:val="24"/>
        </w:rPr>
      </w:pPr>
    </w:p>
    <w:p w:rsidR="008339E1" w:rsidRDefault="008339E1" w:rsidP="008339E1">
      <w:pPr>
        <w:spacing w:after="0" w:line="276" w:lineRule="auto"/>
        <w:rPr>
          <w:sz w:val="24"/>
          <w:szCs w:val="24"/>
        </w:rPr>
      </w:pPr>
      <w:r>
        <w:rPr>
          <w:b/>
          <w:sz w:val="24"/>
          <w:szCs w:val="24"/>
        </w:rPr>
        <w:t>Concluding observations</w:t>
      </w:r>
    </w:p>
    <w:p w:rsidR="008339E1" w:rsidRPr="008339E1" w:rsidRDefault="008339E1" w:rsidP="008339E1">
      <w:pPr>
        <w:spacing w:after="0" w:line="276" w:lineRule="auto"/>
        <w:rPr>
          <w:sz w:val="24"/>
          <w:szCs w:val="24"/>
        </w:rPr>
      </w:pPr>
    </w:p>
    <w:p w:rsidR="00327CF2" w:rsidRDefault="00827734" w:rsidP="00061000">
      <w:pPr>
        <w:spacing w:after="0" w:line="276" w:lineRule="auto"/>
        <w:rPr>
          <w:sz w:val="24"/>
          <w:szCs w:val="24"/>
        </w:rPr>
      </w:pPr>
      <w:r w:rsidRPr="00061000">
        <w:rPr>
          <w:sz w:val="24"/>
          <w:szCs w:val="24"/>
        </w:rPr>
        <w:tab/>
        <w:t xml:space="preserve">I </w:t>
      </w:r>
      <w:r w:rsidR="004719BA">
        <w:rPr>
          <w:sz w:val="24"/>
          <w:szCs w:val="24"/>
        </w:rPr>
        <w:t xml:space="preserve">now offer </w:t>
      </w:r>
      <w:r w:rsidRPr="00061000">
        <w:rPr>
          <w:sz w:val="24"/>
          <w:szCs w:val="24"/>
        </w:rPr>
        <w:t xml:space="preserve">general observations based on the past several years of RUPRI Health Panel work in policy analysis and using our framework of a high performance rural health delivery system. </w:t>
      </w:r>
      <w:r w:rsidR="004719BA">
        <w:rPr>
          <w:sz w:val="24"/>
          <w:szCs w:val="24"/>
        </w:rPr>
        <w:t xml:space="preserve">We are in a time of transformation in health care, both in what is possible in delivery and how we pay for services. </w:t>
      </w:r>
      <w:r w:rsidRPr="00061000">
        <w:rPr>
          <w:sz w:val="24"/>
          <w:szCs w:val="24"/>
        </w:rPr>
        <w:t>In this time</w:t>
      </w:r>
      <w:r w:rsidR="004D6F65" w:rsidRPr="00061000">
        <w:rPr>
          <w:sz w:val="24"/>
          <w:szCs w:val="24"/>
        </w:rPr>
        <w:t xml:space="preserve"> of health care transformation</w:t>
      </w:r>
      <w:r w:rsidRPr="00061000">
        <w:rPr>
          <w:sz w:val="24"/>
          <w:szCs w:val="24"/>
        </w:rPr>
        <w:t xml:space="preserve">, we should provide support to rural providers who because of the scale of their organizations cannot adapt as rapidly as the system may change. Rural HCOs may need access to investment capital they are unable to generate on their own as they participate in new, better ways of organizing services. </w:t>
      </w:r>
      <w:r w:rsidR="00467775" w:rsidRPr="00061000">
        <w:rPr>
          <w:sz w:val="24"/>
          <w:szCs w:val="24"/>
        </w:rPr>
        <w:t xml:space="preserve">Many rural HCOs want to participate in delivery system reform and new payment methodologies, but we should test ideas and programs specific to rural circumstances, as is underway in Pennsylvania. Payment policies and alternative sources of financial support should recognize the importance of access to services in places wherein patient revenue will not be sufficient to cover all costs. </w:t>
      </w:r>
    </w:p>
    <w:p w:rsidR="004719BA" w:rsidRDefault="004719BA" w:rsidP="00061000">
      <w:pPr>
        <w:spacing w:after="0" w:line="276" w:lineRule="auto"/>
        <w:rPr>
          <w:sz w:val="24"/>
          <w:szCs w:val="24"/>
        </w:rPr>
      </w:pPr>
    </w:p>
    <w:p w:rsidR="004719BA" w:rsidRDefault="004719BA" w:rsidP="00061000">
      <w:pPr>
        <w:spacing w:after="0" w:line="276" w:lineRule="auto"/>
        <w:rPr>
          <w:sz w:val="24"/>
          <w:szCs w:val="24"/>
        </w:rPr>
      </w:pPr>
      <w:r>
        <w:rPr>
          <w:sz w:val="24"/>
          <w:szCs w:val="24"/>
        </w:rPr>
        <w:tab/>
        <w:t>I offer these observations about how approach changes to policies affecting rural health delivery:</w:t>
      </w:r>
    </w:p>
    <w:p w:rsidR="004719BA" w:rsidRDefault="004719BA" w:rsidP="004719BA">
      <w:pPr>
        <w:pStyle w:val="ListParagraph"/>
        <w:numPr>
          <w:ilvl w:val="0"/>
          <w:numId w:val="7"/>
        </w:numPr>
        <w:spacing w:after="0" w:line="276" w:lineRule="auto"/>
        <w:rPr>
          <w:sz w:val="24"/>
          <w:szCs w:val="24"/>
        </w:rPr>
      </w:pPr>
      <w:r>
        <w:rPr>
          <w:sz w:val="24"/>
          <w:szCs w:val="24"/>
        </w:rPr>
        <w:t>We should think in terms of total cost of care, not the prices of individual services or single encounters.</w:t>
      </w:r>
    </w:p>
    <w:p w:rsidR="004719BA" w:rsidRDefault="004719BA" w:rsidP="004719BA">
      <w:pPr>
        <w:pStyle w:val="ListParagraph"/>
        <w:numPr>
          <w:ilvl w:val="0"/>
          <w:numId w:val="7"/>
        </w:numPr>
        <w:spacing w:after="0" w:line="276" w:lineRule="auto"/>
        <w:rPr>
          <w:sz w:val="24"/>
          <w:szCs w:val="24"/>
        </w:rPr>
      </w:pPr>
      <w:r>
        <w:rPr>
          <w:sz w:val="24"/>
          <w:szCs w:val="24"/>
        </w:rPr>
        <w:t>New approaches to delivering services and payment policies should be coordinated across payers.</w:t>
      </w:r>
    </w:p>
    <w:p w:rsidR="004719BA" w:rsidRPr="004719BA" w:rsidRDefault="004719BA" w:rsidP="004719BA">
      <w:pPr>
        <w:pStyle w:val="ListParagraph"/>
        <w:numPr>
          <w:ilvl w:val="0"/>
          <w:numId w:val="7"/>
        </w:numPr>
        <w:spacing w:after="0" w:line="276" w:lineRule="auto"/>
        <w:rPr>
          <w:sz w:val="24"/>
          <w:szCs w:val="24"/>
        </w:rPr>
      </w:pPr>
      <w:r>
        <w:rPr>
          <w:sz w:val="24"/>
          <w:szCs w:val="24"/>
        </w:rPr>
        <w:t>Individual and population health are affected by circumstances and policies beyond the immediate purview of health policies; that interaction should be considered in a rural context.</w:t>
      </w:r>
    </w:p>
    <w:p w:rsidR="00327CF2" w:rsidRDefault="00327CF2" w:rsidP="004719BA">
      <w:pPr>
        <w:spacing w:after="0" w:line="276" w:lineRule="auto"/>
        <w:rPr>
          <w:sz w:val="24"/>
          <w:szCs w:val="24"/>
        </w:rPr>
      </w:pPr>
    </w:p>
    <w:p w:rsidR="00371527" w:rsidRDefault="00BB3C24" w:rsidP="00BB3C24">
      <w:pPr>
        <w:spacing w:after="0" w:line="276" w:lineRule="auto"/>
        <w:ind w:firstLine="360"/>
        <w:rPr>
          <w:sz w:val="24"/>
          <w:szCs w:val="24"/>
        </w:rPr>
      </w:pPr>
      <w:r>
        <w:rPr>
          <w:sz w:val="24"/>
          <w:szCs w:val="24"/>
        </w:rPr>
        <w:t xml:space="preserve">Finally, I offer other resources as the Committee considers policy improvements serving rural America. I realize that much attention focuses on the closure of rural hospitals and the struggles those remaining open incur to meet financial needs. Discussions about future action include thinking through alternative models for rural communities. Abrupt closure of the local hospital should not be an option because there will residents who lose access to essential services as a result. The RUPRI Health Panel has completed work to summarize and compare alternative models for rural communities, accessible from our web site: </w:t>
      </w:r>
      <w:hyperlink r:id="rId16" w:history="1">
        <w:r w:rsidRPr="001014AC">
          <w:rPr>
            <w:rStyle w:val="Hyperlink"/>
            <w:sz w:val="24"/>
            <w:szCs w:val="24"/>
          </w:rPr>
          <w:t>http://www.rupri.org/wp-content/uploads/Alternatives-for-Developing-the-High-Performance-Rural-Health-System-FIN....pdf</w:t>
        </w:r>
      </w:hyperlink>
      <w:r>
        <w:rPr>
          <w:sz w:val="24"/>
          <w:szCs w:val="24"/>
        </w:rPr>
        <w:t xml:space="preserve">. But the issues facing rural communities are much more encompassing than the focus on hospitals, and communities fortunate to have a viable, robust hospital delivery system still confront questions about how to transform to a value-based system. In addition to our work on Medicare payment reform, the Health Panel published a document describing challenges and opportunities for rural health systems in Medicare payment and delivery system reform: </w:t>
      </w:r>
      <w:hyperlink r:id="rId17" w:history="1">
        <w:r w:rsidRPr="001014AC">
          <w:rPr>
            <w:rStyle w:val="Hyperlink"/>
            <w:sz w:val="24"/>
            <w:szCs w:val="24"/>
          </w:rPr>
          <w:t>http://www.rupri.org/wp-content/uploads/RUPRI-Health-Panel-Medicaid-Payment-and-Delivery-System-Reform-June-2016.pdf</w:t>
        </w:r>
      </w:hyperlink>
      <w:r>
        <w:rPr>
          <w:sz w:val="24"/>
          <w:szCs w:val="24"/>
        </w:rPr>
        <w:t>. Finally, the RUPRI Health Panel is committed to help</w:t>
      </w:r>
      <w:r w:rsidR="005D0246">
        <w:rPr>
          <w:sz w:val="24"/>
          <w:szCs w:val="24"/>
        </w:rPr>
        <w:t xml:space="preserve">ing providers and policy makers learn of options that advance us toward a high performance rural health system. We established a framework for defining that end objective in documents released in 2011, with a follow up document in 2014 suggesting a specific strategy: </w:t>
      </w:r>
      <w:hyperlink r:id="rId18" w:history="1">
        <w:r w:rsidR="005D0246" w:rsidRPr="001014AC">
          <w:rPr>
            <w:rStyle w:val="Hyperlink"/>
            <w:sz w:val="24"/>
            <w:szCs w:val="24"/>
          </w:rPr>
          <w:t>http://www.rupri.org/wp-content/uploads/2014/11/Advancing-the-Transition-Health-Panel-Brief.pdf</w:t>
        </w:r>
      </w:hyperlink>
      <w:r w:rsidR="005D0246">
        <w:rPr>
          <w:sz w:val="24"/>
          <w:szCs w:val="24"/>
        </w:rPr>
        <w:t xml:space="preserve">. </w:t>
      </w:r>
    </w:p>
    <w:p w:rsidR="00371527" w:rsidRDefault="00371527" w:rsidP="00BB3C24">
      <w:pPr>
        <w:spacing w:after="0" w:line="276" w:lineRule="auto"/>
        <w:ind w:firstLine="360"/>
        <w:rPr>
          <w:sz w:val="24"/>
          <w:szCs w:val="24"/>
        </w:rPr>
      </w:pPr>
    </w:p>
    <w:p w:rsidR="004719BA" w:rsidRDefault="005D0246" w:rsidP="00BB3C24">
      <w:pPr>
        <w:spacing w:after="0" w:line="276" w:lineRule="auto"/>
        <w:ind w:firstLine="360"/>
        <w:rPr>
          <w:sz w:val="24"/>
          <w:szCs w:val="24"/>
        </w:rPr>
      </w:pPr>
      <w:r>
        <w:rPr>
          <w:sz w:val="24"/>
          <w:szCs w:val="24"/>
        </w:rPr>
        <w:t xml:space="preserve">More recently, the Health Panel completed a comprehensive assessment of progress of health system transformation, including impacts on rural health delivery and outcomes for rural populations. We included an assessment of remaining gaps and how policies across seven topical areas could address them. The areas are Medicare, Medicaid and CHIP, Insurance Coverage and Affordability, Quality, Healthcare Finance and System Transformation, Workforce, and Population Health. The document (Taking Stock: Policy Opportunities for Advancing Rural Health) can be accessed as a single download, or by the chapters just enumerated: </w:t>
      </w:r>
      <w:hyperlink r:id="rId19" w:anchor="paneldochealth" w:history="1">
        <w:r w:rsidRPr="001014AC">
          <w:rPr>
            <w:rStyle w:val="Hyperlink"/>
            <w:sz w:val="24"/>
            <w:szCs w:val="24"/>
          </w:rPr>
          <w:t>http://www.rupri.org/areas-of-work/health-policy/#paneldochealth</w:t>
        </w:r>
      </w:hyperlink>
      <w:r>
        <w:rPr>
          <w:sz w:val="24"/>
          <w:szCs w:val="24"/>
        </w:rPr>
        <w:t>.</w:t>
      </w:r>
      <w:r w:rsidR="00EC2E3D">
        <w:rPr>
          <w:rStyle w:val="EndnoteReference"/>
          <w:sz w:val="24"/>
          <w:szCs w:val="24"/>
        </w:rPr>
        <w:endnoteReference w:id="4"/>
      </w:r>
      <w:r w:rsidR="00371527">
        <w:rPr>
          <w:sz w:val="24"/>
          <w:szCs w:val="24"/>
        </w:rPr>
        <w:t xml:space="preserve"> The RUPRI Center for Rural Health Policy Analysis, as referenced earlier in this testimony, publishes research briefs and papers, as well as scholarly journal articles, on a number of topics. Those topics include Medicare Advantage, health insurance markets, rural pharmacies, rural ACOs, and physician payment. The Center’s web site is </w:t>
      </w:r>
      <w:hyperlink r:id="rId20" w:history="1">
        <w:r w:rsidR="00371527" w:rsidRPr="001014AC">
          <w:rPr>
            <w:rStyle w:val="Hyperlink"/>
            <w:sz w:val="24"/>
            <w:szCs w:val="24"/>
          </w:rPr>
          <w:t>www.ruprihealth.org</w:t>
        </w:r>
      </w:hyperlink>
      <w:r w:rsidR="00371527">
        <w:rPr>
          <w:sz w:val="24"/>
          <w:szCs w:val="24"/>
        </w:rPr>
        <w:t>.</w:t>
      </w:r>
      <w:r w:rsidR="00EC2E3D">
        <w:rPr>
          <w:rStyle w:val="EndnoteReference"/>
          <w:sz w:val="24"/>
          <w:szCs w:val="24"/>
        </w:rPr>
        <w:endnoteReference w:id="5"/>
      </w:r>
      <w:r w:rsidR="00371527">
        <w:rPr>
          <w:sz w:val="24"/>
          <w:szCs w:val="24"/>
        </w:rPr>
        <w:t xml:space="preserve"> </w:t>
      </w:r>
    </w:p>
    <w:p w:rsidR="005D0246" w:rsidRPr="00061000" w:rsidRDefault="005D0246" w:rsidP="00BB3C24">
      <w:pPr>
        <w:spacing w:after="0" w:line="276" w:lineRule="auto"/>
        <w:ind w:firstLine="360"/>
        <w:rPr>
          <w:sz w:val="24"/>
          <w:szCs w:val="24"/>
        </w:rPr>
      </w:pPr>
    </w:p>
    <w:sectPr w:rsidR="005D0246" w:rsidRPr="0006100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B1" w:rsidRDefault="00B206B1" w:rsidP="00412FDA">
      <w:pPr>
        <w:spacing w:after="0" w:line="240" w:lineRule="auto"/>
      </w:pPr>
      <w:r>
        <w:separator/>
      </w:r>
    </w:p>
  </w:endnote>
  <w:endnote w:type="continuationSeparator" w:id="0">
    <w:p w:rsidR="00B206B1" w:rsidRDefault="00B206B1" w:rsidP="00412FDA">
      <w:pPr>
        <w:spacing w:after="0" w:line="240" w:lineRule="auto"/>
      </w:pPr>
      <w:r>
        <w:continuationSeparator/>
      </w:r>
    </w:p>
  </w:endnote>
  <w:endnote w:id="1">
    <w:p w:rsidR="00CF3D1F" w:rsidRPr="00412FDA" w:rsidRDefault="00CF3D1F">
      <w:pPr>
        <w:pStyle w:val="EndnoteText"/>
      </w:pPr>
      <w:r>
        <w:rPr>
          <w:rStyle w:val="EndnoteReference"/>
        </w:rPr>
        <w:endnoteRef/>
      </w:r>
      <w:r>
        <w:t xml:space="preserve"> A Clinton MacKinney, F Ullrich, and K Mueller (2018) “Medicare Accountable Care Organization Growth in Rural America, 2014-2016.” </w:t>
      </w:r>
      <w:r>
        <w:rPr>
          <w:i/>
        </w:rPr>
        <w:t>RUPRI Center Data Report</w:t>
      </w:r>
      <w:r>
        <w:t xml:space="preserve"> Brief No. 2018-1. March. </w:t>
      </w:r>
      <w:hyperlink r:id="rId1" w:history="1">
        <w:r w:rsidRPr="001014AC">
          <w:rPr>
            <w:rStyle w:val="Hyperlink"/>
          </w:rPr>
          <w:t>www.public-health.uiowa.edu/rupri/</w:t>
        </w:r>
      </w:hyperlink>
      <w:r>
        <w:t xml:space="preserve">. </w:t>
      </w:r>
    </w:p>
  </w:endnote>
  <w:endnote w:id="2">
    <w:p w:rsidR="00CF3D1F" w:rsidRDefault="00CF3D1F">
      <w:pPr>
        <w:pStyle w:val="EndnoteText"/>
      </w:pPr>
      <w:r>
        <w:rPr>
          <w:rStyle w:val="EndnoteReference"/>
        </w:rPr>
        <w:endnoteRef/>
      </w:r>
      <w:r>
        <w:t xml:space="preserve"> Document in development; based on RUPRI Center for Rural Health Policy Analysis data set that plots location of health care providers included in ACOs</w:t>
      </w:r>
    </w:p>
  </w:endnote>
  <w:endnote w:id="3">
    <w:p w:rsidR="00CF3D1F" w:rsidRPr="001C2E0E" w:rsidRDefault="00CF3D1F">
      <w:pPr>
        <w:pStyle w:val="EndnoteText"/>
      </w:pPr>
      <w:r>
        <w:rPr>
          <w:rStyle w:val="EndnoteReference"/>
        </w:rPr>
        <w:endnoteRef/>
      </w:r>
      <w:r>
        <w:t xml:space="preserve"> Saunders, R, Mulestein D, and McClellan M (2017) Medicare Accountable Care Organization Results for 2016: Seeing Improvement, Transformation Takes Time. </w:t>
      </w:r>
      <w:r>
        <w:rPr>
          <w:i/>
        </w:rPr>
        <w:t>Health Affairs Blog</w:t>
      </w:r>
      <w:r>
        <w:t xml:space="preserve"> November 21. 10.1377/hblog20171120.211043. </w:t>
      </w:r>
    </w:p>
  </w:endnote>
  <w:endnote w:id="4">
    <w:p w:rsidR="00CF3D1F" w:rsidRDefault="00CF3D1F" w:rsidP="00EC2E3D">
      <w:pPr>
        <w:pStyle w:val="EndnoteText"/>
      </w:pPr>
      <w:r>
        <w:rPr>
          <w:rStyle w:val="EndnoteReference"/>
        </w:rPr>
        <w:endnoteRef/>
      </w:r>
      <w:r>
        <w:t xml:space="preserve"> The work of the RUPRI Health Panel has been supported by the following sources:</w:t>
      </w:r>
    </w:p>
    <w:p w:rsidR="00CF3D1F" w:rsidRDefault="00CF3D1F" w:rsidP="00EC2E3D">
      <w:pPr>
        <w:pStyle w:val="EndnoteText"/>
        <w:numPr>
          <w:ilvl w:val="0"/>
          <w:numId w:val="9"/>
        </w:numPr>
      </w:pPr>
      <w:r>
        <w:t>The US Department of Agriculture (special grant to RUPRI from which Panel support was provided in its early years)</w:t>
      </w:r>
    </w:p>
    <w:p w:rsidR="00CF3D1F" w:rsidRDefault="00CF3D1F" w:rsidP="00EC2E3D">
      <w:pPr>
        <w:pStyle w:val="EndnoteText"/>
        <w:numPr>
          <w:ilvl w:val="0"/>
          <w:numId w:val="9"/>
        </w:numPr>
      </w:pPr>
      <w:r>
        <w:t>The Federal Office of Rural Health Policy, Health Resources and Services Administration, US Department of Health and Human Services (ongoing cooperative agreement)</w:t>
      </w:r>
    </w:p>
    <w:p w:rsidR="00CF3D1F" w:rsidRDefault="00CF3D1F" w:rsidP="00EC2E3D">
      <w:pPr>
        <w:pStyle w:val="EndnoteText"/>
        <w:numPr>
          <w:ilvl w:val="0"/>
          <w:numId w:val="9"/>
        </w:numPr>
      </w:pPr>
      <w:r>
        <w:t>The Robert Wood Johnson Foundation (work in 2009-2010)</w:t>
      </w:r>
    </w:p>
    <w:p w:rsidR="00CF3D1F" w:rsidRDefault="00CF3D1F" w:rsidP="00EC2E3D">
      <w:pPr>
        <w:pStyle w:val="EndnoteText"/>
        <w:numPr>
          <w:ilvl w:val="0"/>
          <w:numId w:val="9"/>
        </w:numPr>
      </w:pPr>
      <w:r>
        <w:t>The Agency for Healthcare Research and Quality (1990s)</w:t>
      </w:r>
    </w:p>
    <w:p w:rsidR="00CF3D1F" w:rsidRDefault="00CF3D1F" w:rsidP="00CF3D1F">
      <w:pPr>
        <w:pStyle w:val="EndnoteText"/>
        <w:numPr>
          <w:ilvl w:val="0"/>
          <w:numId w:val="9"/>
        </w:numPr>
      </w:pPr>
      <w:r>
        <w:t>The Leona M. and Harry B. Helmsley Charitable Trust (current grant)</w:t>
      </w:r>
    </w:p>
    <w:p w:rsidR="00CF3D1F" w:rsidRPr="00B94D0A" w:rsidRDefault="00CF3D1F" w:rsidP="00B94D0A">
      <w:pPr>
        <w:pStyle w:val="EndnoteText"/>
        <w:rPr>
          <w:i/>
        </w:rPr>
      </w:pPr>
      <w:r>
        <w:rPr>
          <w:i/>
        </w:rPr>
        <w:t>The information, conclusions and opinions expressed in this testimony are those of the author and no endorsement by any of the funders is intended or should be inferred.</w:t>
      </w:r>
    </w:p>
  </w:endnote>
  <w:endnote w:id="5">
    <w:p w:rsidR="00CF3D1F" w:rsidRDefault="00CF3D1F">
      <w:pPr>
        <w:pStyle w:val="EndnoteText"/>
      </w:pPr>
      <w:r>
        <w:rPr>
          <w:rStyle w:val="EndnoteReference"/>
        </w:rPr>
        <w:endnoteRef/>
      </w:r>
      <w:r>
        <w:t xml:space="preserve"> The work of the RUPRI Center for Rural Health Policy Analysis has been supported by the following sources:</w:t>
      </w:r>
    </w:p>
    <w:p w:rsidR="00CF3D1F" w:rsidRDefault="00CF3D1F" w:rsidP="00EC2E3D">
      <w:pPr>
        <w:pStyle w:val="EndnoteText"/>
        <w:numPr>
          <w:ilvl w:val="0"/>
          <w:numId w:val="9"/>
        </w:numPr>
      </w:pPr>
      <w:r>
        <w:t>The Federal Office of Rural Health Policy, Health Resources and Services Administration, US Department of Health and Human Services (ongoing cooperative agreement to the Center, funding the project Rural Health Value, evaluation work)</w:t>
      </w:r>
    </w:p>
    <w:p w:rsidR="00CF3D1F" w:rsidRDefault="00CF3D1F" w:rsidP="00EC2E3D">
      <w:pPr>
        <w:pStyle w:val="EndnoteText"/>
        <w:numPr>
          <w:ilvl w:val="0"/>
          <w:numId w:val="9"/>
        </w:numPr>
      </w:pPr>
      <w:r>
        <w:t>The Leona M and Harry B. Helmsley Charitable Trust (supporting evaluation of telehealth)</w:t>
      </w:r>
    </w:p>
    <w:p w:rsidR="00CF3D1F" w:rsidRDefault="00CF3D1F" w:rsidP="00EC2E3D">
      <w:pPr>
        <w:pStyle w:val="EndnoteText"/>
        <w:numPr>
          <w:ilvl w:val="0"/>
          <w:numId w:val="9"/>
        </w:numPr>
      </w:pPr>
      <w:r>
        <w:t>The Robert Wood Johnson Foundation (work related to health reform in 2009)</w:t>
      </w:r>
    </w:p>
    <w:p w:rsidR="00CF3D1F" w:rsidRDefault="00CF3D1F" w:rsidP="00EC2E3D">
      <w:pPr>
        <w:pStyle w:val="EndnoteText"/>
        <w:numPr>
          <w:ilvl w:val="0"/>
          <w:numId w:val="9"/>
        </w:numPr>
      </w:pPr>
      <w:r>
        <w:t>Office of Rural Health, Veterans’ Health Administration</w:t>
      </w:r>
    </w:p>
    <w:p w:rsidR="00CF3D1F" w:rsidRDefault="00CF3D1F" w:rsidP="00B94D0A">
      <w:pPr>
        <w:pStyle w:val="EndnoteText"/>
      </w:pPr>
      <w:r>
        <w:rPr>
          <w:i/>
        </w:rPr>
        <w:t>The information, conclusions and opinions expressed in this testimony are those of the author and no endorsement by any of the funders is intended or should be inferred.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6968"/>
      <w:docPartObj>
        <w:docPartGallery w:val="Page Numbers (Bottom of Page)"/>
        <w:docPartUnique/>
      </w:docPartObj>
    </w:sdtPr>
    <w:sdtEndPr>
      <w:rPr>
        <w:noProof/>
      </w:rPr>
    </w:sdtEndPr>
    <w:sdtContent>
      <w:p w:rsidR="00CF3D1F" w:rsidRDefault="00CF3D1F">
        <w:pPr>
          <w:pStyle w:val="Footer"/>
          <w:jc w:val="center"/>
        </w:pPr>
        <w:r>
          <w:fldChar w:fldCharType="begin"/>
        </w:r>
        <w:r>
          <w:instrText xml:space="preserve"> PAGE   \* MERGEFORMAT </w:instrText>
        </w:r>
        <w:r>
          <w:fldChar w:fldCharType="separate"/>
        </w:r>
        <w:r w:rsidR="002226F5">
          <w:rPr>
            <w:noProof/>
          </w:rPr>
          <w:t>10</w:t>
        </w:r>
        <w:r>
          <w:rPr>
            <w:noProof/>
          </w:rPr>
          <w:fldChar w:fldCharType="end"/>
        </w:r>
      </w:p>
    </w:sdtContent>
  </w:sdt>
  <w:p w:rsidR="00CF3D1F" w:rsidRDefault="00CF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B1" w:rsidRDefault="00B206B1" w:rsidP="00412FDA">
      <w:pPr>
        <w:spacing w:after="0" w:line="240" w:lineRule="auto"/>
      </w:pPr>
      <w:r>
        <w:separator/>
      </w:r>
    </w:p>
  </w:footnote>
  <w:footnote w:type="continuationSeparator" w:id="0">
    <w:p w:rsidR="00B206B1" w:rsidRDefault="00B206B1" w:rsidP="0041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0389"/>
    <w:multiLevelType w:val="hybridMultilevel"/>
    <w:tmpl w:val="B0E6DFB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273E24E9"/>
    <w:multiLevelType w:val="hybridMultilevel"/>
    <w:tmpl w:val="786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5EAB"/>
    <w:multiLevelType w:val="hybridMultilevel"/>
    <w:tmpl w:val="4B9C2624"/>
    <w:lvl w:ilvl="0" w:tplc="A39654C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3352201B"/>
    <w:multiLevelType w:val="hybridMultilevel"/>
    <w:tmpl w:val="B28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652BE"/>
    <w:multiLevelType w:val="hybridMultilevel"/>
    <w:tmpl w:val="1F4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24AC3"/>
    <w:multiLevelType w:val="hybridMultilevel"/>
    <w:tmpl w:val="E182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D7B5B"/>
    <w:multiLevelType w:val="hybridMultilevel"/>
    <w:tmpl w:val="4938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96F3F"/>
    <w:multiLevelType w:val="hybridMultilevel"/>
    <w:tmpl w:val="3E8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0118A"/>
    <w:multiLevelType w:val="hybridMultilevel"/>
    <w:tmpl w:val="27D6AF3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2B"/>
    <w:rsid w:val="0001200B"/>
    <w:rsid w:val="0001623C"/>
    <w:rsid w:val="00023B47"/>
    <w:rsid w:val="00061000"/>
    <w:rsid w:val="00061121"/>
    <w:rsid w:val="00090345"/>
    <w:rsid w:val="000A41EE"/>
    <w:rsid w:val="00121184"/>
    <w:rsid w:val="001A2B0D"/>
    <w:rsid w:val="001C2E0E"/>
    <w:rsid w:val="001F07D9"/>
    <w:rsid w:val="002226F5"/>
    <w:rsid w:val="00327CF2"/>
    <w:rsid w:val="0036563F"/>
    <w:rsid w:val="00371527"/>
    <w:rsid w:val="00412FDA"/>
    <w:rsid w:val="00467775"/>
    <w:rsid w:val="004719BA"/>
    <w:rsid w:val="004A6CF1"/>
    <w:rsid w:val="004D6F65"/>
    <w:rsid w:val="00517A2A"/>
    <w:rsid w:val="00542A76"/>
    <w:rsid w:val="00575CA6"/>
    <w:rsid w:val="005D0246"/>
    <w:rsid w:val="005D38A9"/>
    <w:rsid w:val="0062111D"/>
    <w:rsid w:val="006420E8"/>
    <w:rsid w:val="00681615"/>
    <w:rsid w:val="007C243C"/>
    <w:rsid w:val="00827734"/>
    <w:rsid w:val="008339E1"/>
    <w:rsid w:val="008538DB"/>
    <w:rsid w:val="008845A6"/>
    <w:rsid w:val="00984896"/>
    <w:rsid w:val="009B2CDB"/>
    <w:rsid w:val="00A67F07"/>
    <w:rsid w:val="00AA7A70"/>
    <w:rsid w:val="00AD33AC"/>
    <w:rsid w:val="00AE607E"/>
    <w:rsid w:val="00B20122"/>
    <w:rsid w:val="00B206B1"/>
    <w:rsid w:val="00B67B0C"/>
    <w:rsid w:val="00B70152"/>
    <w:rsid w:val="00B94D0A"/>
    <w:rsid w:val="00BB3C24"/>
    <w:rsid w:val="00BC4CB1"/>
    <w:rsid w:val="00BF7360"/>
    <w:rsid w:val="00CB13C8"/>
    <w:rsid w:val="00CB229C"/>
    <w:rsid w:val="00CF3D1F"/>
    <w:rsid w:val="00E91317"/>
    <w:rsid w:val="00E9522B"/>
    <w:rsid w:val="00EB7A07"/>
    <w:rsid w:val="00EC2E3D"/>
    <w:rsid w:val="00EF58E2"/>
    <w:rsid w:val="00F1777B"/>
    <w:rsid w:val="00F90E2B"/>
    <w:rsid w:val="00FC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0FD390-20B0-4A67-98AF-DBC2BA0B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AC"/>
    <w:pPr>
      <w:ind w:left="720"/>
      <w:contextualSpacing/>
    </w:pPr>
  </w:style>
  <w:style w:type="paragraph" w:styleId="BalloonText">
    <w:name w:val="Balloon Text"/>
    <w:basedOn w:val="Normal"/>
    <w:link w:val="BalloonTextChar"/>
    <w:uiPriority w:val="99"/>
    <w:semiHidden/>
    <w:unhideWhenUsed/>
    <w:rsid w:val="00B70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52"/>
    <w:rPr>
      <w:rFonts w:ascii="Segoe UI" w:hAnsi="Segoe UI" w:cs="Segoe UI"/>
      <w:sz w:val="18"/>
      <w:szCs w:val="18"/>
    </w:rPr>
  </w:style>
  <w:style w:type="paragraph" w:styleId="EndnoteText">
    <w:name w:val="endnote text"/>
    <w:basedOn w:val="Normal"/>
    <w:link w:val="EndnoteTextChar"/>
    <w:uiPriority w:val="99"/>
    <w:semiHidden/>
    <w:unhideWhenUsed/>
    <w:rsid w:val="00412F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2FDA"/>
    <w:rPr>
      <w:sz w:val="20"/>
      <w:szCs w:val="20"/>
    </w:rPr>
  </w:style>
  <w:style w:type="character" w:styleId="EndnoteReference">
    <w:name w:val="endnote reference"/>
    <w:basedOn w:val="DefaultParagraphFont"/>
    <w:uiPriority w:val="99"/>
    <w:semiHidden/>
    <w:unhideWhenUsed/>
    <w:rsid w:val="00412FDA"/>
    <w:rPr>
      <w:vertAlign w:val="superscript"/>
    </w:rPr>
  </w:style>
  <w:style w:type="character" w:styleId="Hyperlink">
    <w:name w:val="Hyperlink"/>
    <w:basedOn w:val="DefaultParagraphFont"/>
    <w:uiPriority w:val="99"/>
    <w:unhideWhenUsed/>
    <w:rsid w:val="00412FDA"/>
    <w:rPr>
      <w:color w:val="0563C1" w:themeColor="hyperlink"/>
      <w:u w:val="single"/>
    </w:rPr>
  </w:style>
  <w:style w:type="paragraph" w:styleId="Header">
    <w:name w:val="header"/>
    <w:basedOn w:val="Normal"/>
    <w:link w:val="HeaderChar"/>
    <w:uiPriority w:val="99"/>
    <w:unhideWhenUsed/>
    <w:rsid w:val="00E9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17"/>
  </w:style>
  <w:style w:type="paragraph" w:styleId="Footer">
    <w:name w:val="footer"/>
    <w:basedOn w:val="Normal"/>
    <w:link w:val="FooterChar"/>
    <w:uiPriority w:val="99"/>
    <w:unhideWhenUsed/>
    <w:rsid w:val="00E9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17"/>
  </w:style>
  <w:style w:type="table" w:styleId="TableGrid">
    <w:name w:val="Table Grid"/>
    <w:basedOn w:val="TableNormal"/>
    <w:uiPriority w:val="39"/>
    <w:rsid w:val="00E9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ueller@uiowa.edu" TargetMode="External"/><Relationship Id="rId13" Type="http://schemas.openxmlformats.org/officeDocument/2006/relationships/hyperlink" Target="http://www.rupri.org/wp-content/uploads/FORHP-comments-km-DSR-PANEL-DOCUMENT_PRD_Review_112315.clean-4_sn-3.pdf" TargetMode="External"/><Relationship Id="rId18" Type="http://schemas.openxmlformats.org/officeDocument/2006/relationships/hyperlink" Target="http://www.rupri.org/wp-content/uploads/2014/11/Advancing-the-Transition-Health-Panel-Brie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novation.cms.gov/initiatives/ACO-Investment-Model/" TargetMode="External"/><Relationship Id="rId17" Type="http://schemas.openxmlformats.org/officeDocument/2006/relationships/hyperlink" Target="http://www.rupri.org/wp-content/uploads/RUPRI-Health-Panel-Medicaid-Payment-and-Delivery-System-Reform-June-2016.pdf" TargetMode="External"/><Relationship Id="rId2" Type="http://schemas.openxmlformats.org/officeDocument/2006/relationships/numbering" Target="numbering.xml"/><Relationship Id="rId16" Type="http://schemas.openxmlformats.org/officeDocument/2006/relationships/hyperlink" Target="http://www.rupri.org/wp-content/uploads/Alternatives-for-Developing-the-High-Performance-Rural-Health-System-FIN....pdf" TargetMode="External"/><Relationship Id="rId20" Type="http://schemas.openxmlformats.org/officeDocument/2006/relationships/hyperlink" Target="http://www.rupri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ruraltelehealth.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rupri.org/areas-of-work/health-policy/" TargetMode="External"/><Relationship Id="rId4" Type="http://schemas.openxmlformats.org/officeDocument/2006/relationships/settings" Target="settings.xml"/><Relationship Id="rId9" Type="http://schemas.openxmlformats.org/officeDocument/2006/relationships/hyperlink" Target="http://www.ruprihealth.org" TargetMode="External"/><Relationship Id="rId14" Type="http://schemas.openxmlformats.org/officeDocument/2006/relationships/hyperlink" Target="http://www.ruprihealth.org"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ublic-health.uiowa.edu/rup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DAFB-EB79-444B-8C66-2009182B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3329</Words>
  <Characters>19314</Characters>
  <Application>Microsoft Office Word</Application>
  <DocSecurity>0</DocSecurity>
  <Lines>568</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Keith</dc:creator>
  <cp:keywords/>
  <dc:description/>
  <cp:lastModifiedBy>Mueller, Keith</cp:lastModifiedBy>
  <cp:revision>3</cp:revision>
  <cp:lastPrinted>2018-05-20T21:17:00Z</cp:lastPrinted>
  <dcterms:created xsi:type="dcterms:W3CDTF">2018-05-21T14:45:00Z</dcterms:created>
  <dcterms:modified xsi:type="dcterms:W3CDTF">2018-05-21T15:29:00Z</dcterms:modified>
</cp:coreProperties>
</file>